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6B" w:rsidRPr="00A13CF4" w:rsidRDefault="00BF1A8A" w:rsidP="003A3F6B">
      <w:pPr>
        <w:pStyle w:val="berschrift2"/>
        <w:spacing w:before="0" w:beforeAutospacing="0" w:after="0" w:afterAutospacing="0"/>
        <w:jc w:val="right"/>
        <w:rPr>
          <w:b w:val="0"/>
          <w:sz w:val="16"/>
          <w:szCs w:val="16"/>
        </w:rPr>
      </w:pPr>
      <w:r>
        <w:rPr>
          <w:b w:val="0"/>
          <w:sz w:val="16"/>
          <w:szCs w:val="16"/>
        </w:rPr>
        <w:t>Mathematik</w:t>
      </w:r>
      <w:r w:rsidR="003A3F6B">
        <w:rPr>
          <w:b w:val="0"/>
          <w:sz w:val="16"/>
          <w:szCs w:val="16"/>
        </w:rPr>
        <w:t xml:space="preserve"> </w:t>
      </w:r>
      <w:r w:rsidR="00F93B33">
        <w:rPr>
          <w:b w:val="0"/>
          <w:sz w:val="16"/>
          <w:szCs w:val="16"/>
        </w:rPr>
        <w:t>LP+ Bezug zu Biologie</w:t>
      </w:r>
      <w:r w:rsidR="003A3F6B">
        <w:rPr>
          <w:b w:val="0"/>
          <w:sz w:val="16"/>
          <w:szCs w:val="16"/>
        </w:rPr>
        <w:t xml:space="preserve"> 2017</w:t>
      </w:r>
    </w:p>
    <w:p w:rsidR="003A3F6B" w:rsidRPr="00A13CF4" w:rsidRDefault="003A3F6B" w:rsidP="003A3F6B">
      <w:pPr>
        <w:pStyle w:val="berschrift2"/>
        <w:spacing w:before="0" w:beforeAutospacing="0" w:after="0" w:afterAutospacing="0"/>
        <w:jc w:val="center"/>
        <w:rPr>
          <w:sz w:val="32"/>
          <w:szCs w:val="32"/>
        </w:rPr>
      </w:pPr>
      <w:r w:rsidRPr="00A13CF4">
        <w:rPr>
          <w:sz w:val="32"/>
          <w:szCs w:val="32"/>
        </w:rPr>
        <w:t>Berührungspunkte im Lehrplan</w:t>
      </w:r>
      <w:r>
        <w:rPr>
          <w:sz w:val="32"/>
          <w:szCs w:val="32"/>
        </w:rPr>
        <w:t>PLUS</w:t>
      </w:r>
      <w:r w:rsidR="00D44153">
        <w:rPr>
          <w:sz w:val="32"/>
          <w:szCs w:val="32"/>
        </w:rPr>
        <w:t xml:space="preserve"> </w:t>
      </w:r>
      <w:r w:rsidR="00BF1A8A">
        <w:rPr>
          <w:sz w:val="32"/>
          <w:szCs w:val="32"/>
        </w:rPr>
        <w:t>Mathematik</w:t>
      </w:r>
      <w:r w:rsidR="00D44153">
        <w:rPr>
          <w:sz w:val="32"/>
          <w:szCs w:val="32"/>
        </w:rPr>
        <w:t xml:space="preserve"> </w:t>
      </w:r>
      <w:r w:rsidRPr="00A13CF4">
        <w:rPr>
          <w:sz w:val="32"/>
          <w:szCs w:val="32"/>
        </w:rPr>
        <w:t>mit Biologie</w:t>
      </w:r>
      <w:r>
        <w:rPr>
          <w:sz w:val="32"/>
          <w:szCs w:val="32"/>
        </w:rPr>
        <w:t xml:space="preserve"> (Unterstufe)</w:t>
      </w:r>
    </w:p>
    <w:p w:rsidR="00F93B33" w:rsidRDefault="00F93B33" w:rsidP="00E415CE">
      <w:pPr>
        <w:spacing w:after="120"/>
        <w:rPr>
          <w:rFonts w:ascii="Arial" w:hAnsi="Arial" w:cs="Arial"/>
          <w:b/>
          <w:sz w:val="28"/>
          <w:szCs w:val="28"/>
        </w:rPr>
      </w:pPr>
    </w:p>
    <w:tbl>
      <w:tblPr>
        <w:tblStyle w:val="Tabellenraster"/>
        <w:tblW w:w="14425" w:type="dxa"/>
        <w:tblLook w:val="04A0" w:firstRow="1" w:lastRow="0" w:firstColumn="1" w:lastColumn="0" w:noHBand="0" w:noVBand="1"/>
      </w:tblPr>
      <w:tblGrid>
        <w:gridCol w:w="14425"/>
      </w:tblGrid>
      <w:tr w:rsidR="005F57CD" w:rsidTr="005360B5">
        <w:tc>
          <w:tcPr>
            <w:tcW w:w="14425" w:type="dxa"/>
            <w:shd w:val="clear" w:color="auto" w:fill="F2DBDB" w:themeFill="accent2" w:themeFillTint="33"/>
          </w:tcPr>
          <w:p w:rsidR="005F57CD" w:rsidRPr="007F3F8B" w:rsidRDefault="005F57CD" w:rsidP="005360B5">
            <w:pPr>
              <w:rPr>
                <w:rFonts w:ascii="Times New Roman" w:eastAsia="Times New Roman" w:hAnsi="Times New Roman" w:cs="Times New Roman"/>
                <w:b/>
                <w:i/>
                <w:szCs w:val="24"/>
                <w:lang w:eastAsia="de-DE"/>
              </w:rPr>
            </w:pPr>
            <w:r w:rsidRPr="007F3F8B">
              <w:rPr>
                <w:rFonts w:ascii="Times New Roman" w:eastAsia="Times New Roman" w:hAnsi="Times New Roman" w:cs="Times New Roman"/>
                <w:b/>
                <w:i/>
                <w:szCs w:val="24"/>
                <w:lang w:eastAsia="de-DE"/>
              </w:rPr>
              <w:t>Bezug zu Biologie:</w:t>
            </w:r>
          </w:p>
          <w:p w:rsidR="005F57CD" w:rsidRDefault="005F57CD" w:rsidP="005360B5">
            <w:pPr>
              <w:rPr>
                <w:rFonts w:ascii="Times New Roman" w:eastAsia="Times New Roman" w:hAnsi="Times New Roman" w:cs="Times New Roman"/>
                <w:i/>
                <w:szCs w:val="24"/>
                <w:lang w:eastAsia="de-DE"/>
              </w:rPr>
            </w:pPr>
            <w:r>
              <w:rPr>
                <w:rFonts w:ascii="Times New Roman" w:eastAsia="Times New Roman" w:hAnsi="Times New Roman" w:cs="Times New Roman"/>
                <w:i/>
                <w:szCs w:val="24"/>
                <w:lang w:eastAsia="de-DE"/>
              </w:rPr>
              <w:t>Zunächst vor allem im Schwerpunkt Naturwissenschaftliches Arbeiten, daneben aber auch immer in Biologie ist es wesentlich zu wissen, in welcher Jahrgangsstufe die mathematischen Grundlagen gelegt werden.</w:t>
            </w:r>
          </w:p>
          <w:p w:rsidR="005F57CD" w:rsidRDefault="005F57CD" w:rsidP="005360B5">
            <w:pPr>
              <w:rPr>
                <w:rFonts w:ascii="Times New Roman" w:eastAsia="Times New Roman" w:hAnsi="Times New Roman" w:cs="Times New Roman"/>
                <w:i/>
                <w:szCs w:val="24"/>
                <w:lang w:eastAsia="de-DE"/>
              </w:rPr>
            </w:pPr>
            <w:r>
              <w:rPr>
                <w:rFonts w:ascii="Times New Roman" w:eastAsia="Times New Roman" w:hAnsi="Times New Roman" w:cs="Times New Roman"/>
                <w:i/>
                <w:szCs w:val="24"/>
                <w:lang w:eastAsia="de-DE"/>
              </w:rPr>
              <w:t>Zwar verwenden die Schüler die Kommaschreibweise schon in der 5. Klasse, aber nur im Zusammenhang mit Größenangaben (seit der Grund</w:t>
            </w:r>
            <w:r w:rsidR="00DE7090">
              <w:rPr>
                <w:rFonts w:ascii="Times New Roman" w:eastAsia="Times New Roman" w:hAnsi="Times New Roman" w:cs="Times New Roman"/>
                <w:i/>
                <w:szCs w:val="24"/>
                <w:lang w:eastAsia="de-DE"/>
              </w:rPr>
              <w:softHyphen/>
            </w:r>
            <w:r>
              <w:rPr>
                <w:rFonts w:ascii="Times New Roman" w:eastAsia="Times New Roman" w:hAnsi="Times New Roman" w:cs="Times New Roman"/>
                <w:i/>
                <w:szCs w:val="24"/>
                <w:lang w:eastAsia="de-DE"/>
              </w:rPr>
              <w:t xml:space="preserve">schule bei Geldwerten, im Laufe der 5. Klassen auch bei Länge und Masse). </w:t>
            </w:r>
          </w:p>
          <w:p w:rsidR="005F57CD" w:rsidRDefault="005F57CD" w:rsidP="005360B5">
            <w:pPr>
              <w:rPr>
                <w:rFonts w:ascii="Times New Roman" w:eastAsia="Times New Roman" w:hAnsi="Times New Roman" w:cs="Times New Roman"/>
                <w:i/>
                <w:szCs w:val="24"/>
                <w:lang w:eastAsia="de-DE"/>
              </w:rPr>
            </w:pPr>
            <w:r>
              <w:rPr>
                <w:rFonts w:ascii="Times New Roman" w:eastAsia="Times New Roman" w:hAnsi="Times New Roman" w:cs="Times New Roman"/>
                <w:i/>
                <w:szCs w:val="24"/>
                <w:lang w:eastAsia="de-DE"/>
              </w:rPr>
              <w:t xml:space="preserve">Bruch- und Prozentrechnen lernen </w:t>
            </w:r>
            <w:bookmarkStart w:id="0" w:name="_GoBack"/>
            <w:bookmarkEnd w:id="0"/>
            <w:r>
              <w:rPr>
                <w:rFonts w:ascii="Times New Roman" w:eastAsia="Times New Roman" w:hAnsi="Times New Roman" w:cs="Times New Roman"/>
                <w:i/>
                <w:szCs w:val="24"/>
                <w:lang w:eastAsia="de-DE"/>
              </w:rPr>
              <w:t>die Schüler erst im Verlauf der 6. Klasse. Im Widerspruch dazu stehen viele entsprechende Angaben in den Biologie- und Geographie-Lehrbüchern für die 5. Klasse.</w:t>
            </w:r>
          </w:p>
          <w:p w:rsidR="00DE7090" w:rsidRPr="00FA1586" w:rsidRDefault="00DE7090" w:rsidP="005360B5">
            <w:pPr>
              <w:rPr>
                <w:rFonts w:ascii="Times New Roman" w:eastAsia="Times New Roman" w:hAnsi="Times New Roman" w:cs="Times New Roman"/>
                <w:i/>
                <w:szCs w:val="24"/>
                <w:lang w:eastAsia="de-DE"/>
              </w:rPr>
            </w:pPr>
            <w:r>
              <w:rPr>
                <w:rFonts w:ascii="Times New Roman" w:eastAsia="Times New Roman" w:hAnsi="Times New Roman" w:cs="Times New Roman"/>
                <w:i/>
                <w:szCs w:val="24"/>
                <w:lang w:eastAsia="de-DE"/>
              </w:rPr>
              <w:t>Die Symmetrietypen kommen in Mathematik erst in der 7. Klasse und können somit beim Blütenbau in der 5. Klasse noch nicht vorausgesetzt werden.</w:t>
            </w:r>
          </w:p>
        </w:tc>
      </w:tr>
    </w:tbl>
    <w:p w:rsidR="005F57CD" w:rsidRDefault="005F57CD" w:rsidP="005F57CD">
      <w:pPr>
        <w:rPr>
          <w:rFonts w:ascii="Arial" w:hAnsi="Arial" w:cs="Arial"/>
          <w:b/>
          <w:sz w:val="28"/>
          <w:szCs w:val="28"/>
        </w:rPr>
      </w:pPr>
    </w:p>
    <w:p w:rsidR="005F57CD" w:rsidRDefault="005F57CD" w:rsidP="005F57CD">
      <w:pPr>
        <w:rPr>
          <w:rFonts w:ascii="Arial" w:hAnsi="Arial" w:cs="Arial"/>
          <w:b/>
          <w:sz w:val="28"/>
          <w:szCs w:val="28"/>
        </w:rPr>
      </w:pPr>
    </w:p>
    <w:p w:rsidR="00E415CE" w:rsidRPr="00E415CE" w:rsidRDefault="00E415CE" w:rsidP="005F57CD">
      <w:pPr>
        <w:spacing w:after="120"/>
        <w:rPr>
          <w:rFonts w:ascii="Arial" w:hAnsi="Arial" w:cs="Arial"/>
          <w:b/>
          <w:sz w:val="28"/>
          <w:szCs w:val="28"/>
        </w:rPr>
      </w:pPr>
      <w:r w:rsidRPr="00E415CE">
        <w:rPr>
          <w:rFonts w:ascii="Arial" w:hAnsi="Arial" w:cs="Arial"/>
          <w:b/>
          <w:sz w:val="28"/>
          <w:szCs w:val="28"/>
        </w:rPr>
        <w:t>5. Klasse</w:t>
      </w:r>
    </w:p>
    <w:tbl>
      <w:tblPr>
        <w:tblStyle w:val="Tabellenraster"/>
        <w:tblW w:w="14425" w:type="dxa"/>
        <w:tblLook w:val="04A0" w:firstRow="1" w:lastRow="0" w:firstColumn="1" w:lastColumn="0" w:noHBand="0" w:noVBand="1"/>
      </w:tblPr>
      <w:tblGrid>
        <w:gridCol w:w="2660"/>
        <w:gridCol w:w="11765"/>
      </w:tblGrid>
      <w:tr w:rsidR="00E415CE" w:rsidRPr="00E415CE" w:rsidTr="00D44153">
        <w:tc>
          <w:tcPr>
            <w:tcW w:w="14425" w:type="dxa"/>
            <w:gridSpan w:val="2"/>
            <w:shd w:val="clear" w:color="auto" w:fill="FFFF00"/>
          </w:tcPr>
          <w:p w:rsidR="00E415CE" w:rsidRPr="00E415CE" w:rsidRDefault="00754C08" w:rsidP="00ED2E0A">
            <w:pPr>
              <w:rPr>
                <w:rFonts w:ascii="Arial" w:hAnsi="Arial" w:cs="Arial"/>
                <w:sz w:val="28"/>
                <w:szCs w:val="28"/>
              </w:rPr>
            </w:pPr>
            <w:r>
              <w:rPr>
                <w:rFonts w:ascii="Arial" w:hAnsi="Arial" w:cs="Arial"/>
                <w:sz w:val="28"/>
                <w:szCs w:val="28"/>
              </w:rPr>
              <w:t>Lernbereich 4: Größen und ihre Einheiten</w:t>
            </w:r>
          </w:p>
        </w:tc>
      </w:tr>
      <w:tr w:rsidR="00754C08" w:rsidRPr="00E415CE" w:rsidTr="00D44153">
        <w:tc>
          <w:tcPr>
            <w:tcW w:w="14425" w:type="dxa"/>
            <w:gridSpan w:val="2"/>
            <w:shd w:val="clear" w:color="auto" w:fill="FFFF00"/>
          </w:tcPr>
          <w:p w:rsidR="00754C08" w:rsidRDefault="00754C08" w:rsidP="00754C08">
            <w:pPr>
              <w:ind w:left="1134"/>
              <w:rPr>
                <w:rFonts w:ascii="Arial" w:hAnsi="Arial" w:cs="Arial"/>
                <w:sz w:val="28"/>
                <w:szCs w:val="28"/>
              </w:rPr>
            </w:pPr>
            <w:r>
              <w:rPr>
                <w:rFonts w:ascii="Arial" w:hAnsi="Arial" w:cs="Arial"/>
                <w:sz w:val="28"/>
                <w:szCs w:val="28"/>
              </w:rPr>
              <w:t>4.1: Geld, Länge, Masse und Zeit</w:t>
            </w:r>
          </w:p>
        </w:tc>
      </w:tr>
      <w:tr w:rsidR="00E415CE" w:rsidRPr="00E415CE" w:rsidTr="00754C08">
        <w:tc>
          <w:tcPr>
            <w:tcW w:w="2660" w:type="dxa"/>
            <w:shd w:val="clear" w:color="auto" w:fill="FFFFCC"/>
            <w:vAlign w:val="center"/>
          </w:tcPr>
          <w:p w:rsidR="00E415CE" w:rsidRPr="00E415CE" w:rsidRDefault="00E415CE" w:rsidP="00E415CE">
            <w:pPr>
              <w:rPr>
                <w:b/>
              </w:rPr>
            </w:pPr>
          </w:p>
        </w:tc>
        <w:tc>
          <w:tcPr>
            <w:tcW w:w="11765" w:type="dxa"/>
            <w:shd w:val="clear" w:color="auto" w:fill="CCCCFF"/>
            <w:vAlign w:val="center"/>
          </w:tcPr>
          <w:p w:rsidR="00E415CE" w:rsidRPr="00E415CE" w:rsidRDefault="00E415CE" w:rsidP="00E415CE">
            <w:pPr>
              <w:rPr>
                <w:b/>
              </w:rPr>
            </w:pPr>
            <w:r w:rsidRPr="00E415CE">
              <w:rPr>
                <w:rStyle w:val="HTMLZitat"/>
                <w:rFonts w:cs="Times New Roman"/>
                <w:b/>
                <w:i w:val="0"/>
              </w:rPr>
              <w:t>Kompetenzerwartungen</w:t>
            </w:r>
            <w:r w:rsidR="00754C08">
              <w:rPr>
                <w:rStyle w:val="HTMLZitat"/>
                <w:rFonts w:cs="Times New Roman"/>
                <w:b/>
                <w:i w:val="0"/>
              </w:rPr>
              <w:t xml:space="preserve"> und Inhalte</w:t>
            </w:r>
            <w:r w:rsidRPr="00E415CE">
              <w:rPr>
                <w:rStyle w:val="HTMLZitat"/>
                <w:rFonts w:cs="Times New Roman"/>
                <w:b/>
                <w:i w:val="0"/>
              </w:rPr>
              <w:t xml:space="preserve">: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E415CE" w:rsidTr="00754C08">
        <w:tc>
          <w:tcPr>
            <w:tcW w:w="2660" w:type="dxa"/>
            <w:shd w:val="clear" w:color="auto" w:fill="FFFFCC"/>
          </w:tcPr>
          <w:p w:rsidR="00E415CE" w:rsidRDefault="00E415CE" w:rsidP="00754C08">
            <w:pPr>
              <w:pStyle w:val="Listenabsatz"/>
              <w:ind w:left="357"/>
            </w:pPr>
          </w:p>
        </w:tc>
        <w:tc>
          <w:tcPr>
            <w:tcW w:w="11765" w:type="dxa"/>
            <w:shd w:val="clear" w:color="auto" w:fill="CCCCFF"/>
          </w:tcPr>
          <w:p w:rsidR="00E415CE" w:rsidRPr="00754C08" w:rsidRDefault="00754C08" w:rsidP="004E3333">
            <w:pPr>
              <w:pStyle w:val="Listenabsatz"/>
              <w:numPr>
                <w:ilvl w:val="0"/>
                <w:numId w:val="9"/>
              </w:numPr>
              <w:ind w:left="357" w:hanging="357"/>
              <w:rPr>
                <w:rFonts w:ascii="Times New Roman" w:eastAsia="Times New Roman" w:hAnsi="Times New Roman" w:cs="Times New Roman"/>
                <w:szCs w:val="24"/>
                <w:lang w:eastAsia="de-DE"/>
              </w:rPr>
            </w:pPr>
            <w:r>
              <w:t xml:space="preserve">verstehen das Prinzip des </w:t>
            </w:r>
            <w:r w:rsidRPr="008D68C4">
              <w:rPr>
                <w:u w:val="single"/>
              </w:rPr>
              <w:t>Messen</w:t>
            </w:r>
            <w:r>
              <w:t xml:space="preserve">s und rechnen </w:t>
            </w:r>
            <w:r w:rsidRPr="008D68C4">
              <w:rPr>
                <w:u w:val="single"/>
              </w:rPr>
              <w:t>Größenangaben</w:t>
            </w:r>
            <w:r>
              <w:t xml:space="preserve"> bei Geld (€, ct), Länge (km, m, dm, cm, mm), Masse (t, kg, g, mg) und Zeit (h, min, s) jeweils in andere </w:t>
            </w:r>
            <w:r w:rsidRPr="008D68C4">
              <w:rPr>
                <w:u w:val="single"/>
              </w:rPr>
              <w:t>Einheiten</w:t>
            </w:r>
            <w:r>
              <w:t xml:space="preserve"> um; dabei verwenden sie bei den Größen Geld, Länge und Masse – unter Rückgriff auf Einheitentafeln – auch Angaben in Kommaschreibweise.</w:t>
            </w:r>
          </w:p>
          <w:p w:rsidR="00754C08" w:rsidRPr="00754C08" w:rsidRDefault="00754C08" w:rsidP="004E3333">
            <w:pPr>
              <w:pStyle w:val="Listenabsatz"/>
              <w:numPr>
                <w:ilvl w:val="0"/>
                <w:numId w:val="9"/>
              </w:numPr>
              <w:ind w:left="357" w:hanging="357"/>
              <w:rPr>
                <w:rFonts w:ascii="Times New Roman" w:eastAsia="Times New Roman" w:hAnsi="Times New Roman" w:cs="Times New Roman"/>
                <w:szCs w:val="24"/>
                <w:lang w:eastAsia="de-DE"/>
              </w:rPr>
            </w:pPr>
            <w:r>
              <w:t xml:space="preserve">rechnen sicher mit Größen (addieren, subtrahieren, vervielfachen, dividieren); die zugehörigen Regeln, die sich aus der Zusammensetzung einer Größe aus </w:t>
            </w:r>
            <w:r w:rsidRPr="008D68C4">
              <w:rPr>
                <w:u w:val="single"/>
              </w:rPr>
              <w:t>Maßzahl</w:t>
            </w:r>
            <w:r>
              <w:t xml:space="preserve"> und </w:t>
            </w:r>
            <w:r w:rsidRPr="008D68C4">
              <w:rPr>
                <w:u w:val="single"/>
              </w:rPr>
              <w:t>Maßeinheit</w:t>
            </w:r>
            <w:r>
              <w:t xml:space="preserve"> ergeben, erklären sie an Beispielen. Beim Addieren und Subtrahieren gehen sie bei den Größen Geld, Länge und Masse auch mit Größenangaben in </w:t>
            </w:r>
            <w:r w:rsidRPr="008D68C4">
              <w:rPr>
                <w:u w:val="single"/>
              </w:rPr>
              <w:t>Kommaschreibweise</w:t>
            </w:r>
            <w:r>
              <w:t xml:space="preserve"> um.</w:t>
            </w:r>
          </w:p>
          <w:p w:rsidR="00754C08" w:rsidRPr="004E3333" w:rsidRDefault="00754C08" w:rsidP="004E3333">
            <w:pPr>
              <w:pStyle w:val="Listenabsatz"/>
              <w:numPr>
                <w:ilvl w:val="0"/>
                <w:numId w:val="9"/>
              </w:numPr>
              <w:ind w:left="357" w:hanging="357"/>
              <w:rPr>
                <w:rFonts w:ascii="Times New Roman" w:eastAsia="Times New Roman" w:hAnsi="Times New Roman" w:cs="Times New Roman"/>
                <w:szCs w:val="24"/>
                <w:lang w:eastAsia="de-DE"/>
              </w:rPr>
            </w:pPr>
            <w:r>
              <w:t>schätzen in Sachsituationen Größen unter Verwendung von Bezugsgrößen aus ihrer Erfahrungswelt (z. B. Körpergröße eines Menschen) ab und nutzen dies bei Sachaufgaben auch zur Kontrolle von Ergebnissen.</w:t>
            </w:r>
          </w:p>
        </w:tc>
      </w:tr>
      <w:tr w:rsidR="00A001F7" w:rsidTr="00A001F7">
        <w:tc>
          <w:tcPr>
            <w:tcW w:w="14425" w:type="dxa"/>
            <w:gridSpan w:val="2"/>
            <w:shd w:val="clear" w:color="auto" w:fill="FFFF00"/>
          </w:tcPr>
          <w:p w:rsidR="00A001F7" w:rsidRDefault="00754C08" w:rsidP="00754C08">
            <w:pPr>
              <w:ind w:left="1134"/>
            </w:pPr>
            <w:r>
              <w:rPr>
                <w:rFonts w:ascii="Arial" w:hAnsi="Arial" w:cs="Arial"/>
                <w:sz w:val="28"/>
                <w:szCs w:val="28"/>
              </w:rPr>
              <w:t>4.2: Flächeninhalt</w:t>
            </w:r>
          </w:p>
        </w:tc>
      </w:tr>
      <w:tr w:rsidR="00A001F7" w:rsidRPr="00E415CE" w:rsidTr="00754C08">
        <w:tc>
          <w:tcPr>
            <w:tcW w:w="2660" w:type="dxa"/>
            <w:shd w:val="clear" w:color="auto" w:fill="FFFFCC"/>
            <w:vAlign w:val="center"/>
          </w:tcPr>
          <w:p w:rsidR="00A001F7" w:rsidRPr="00E415CE" w:rsidRDefault="00A001F7" w:rsidP="00887B77">
            <w:pPr>
              <w:rPr>
                <w:b/>
              </w:rPr>
            </w:pPr>
          </w:p>
        </w:tc>
        <w:tc>
          <w:tcPr>
            <w:tcW w:w="11765" w:type="dxa"/>
            <w:shd w:val="clear" w:color="auto" w:fill="CCCCFF"/>
            <w:vAlign w:val="center"/>
          </w:tcPr>
          <w:p w:rsidR="00A001F7" w:rsidRPr="00E415CE" w:rsidRDefault="00A001F7" w:rsidP="00887B77">
            <w:pPr>
              <w:rPr>
                <w:b/>
              </w:rPr>
            </w:pPr>
            <w:r w:rsidRPr="00E415CE">
              <w:rPr>
                <w:rStyle w:val="HTMLZitat"/>
                <w:rFonts w:cs="Times New Roman"/>
                <w:b/>
                <w:i w:val="0"/>
              </w:rPr>
              <w:t>Kompetenzerwartungen</w:t>
            </w:r>
            <w:r w:rsidR="00754C08">
              <w:rPr>
                <w:rStyle w:val="HTMLZitat"/>
                <w:rFonts w:cs="Times New Roman"/>
                <w:b/>
                <w:i w:val="0"/>
              </w:rPr>
              <w:t xml:space="preserve"> und Inhalte</w:t>
            </w:r>
            <w:r w:rsidRPr="00E415CE">
              <w:rPr>
                <w:rStyle w:val="HTMLZitat"/>
                <w:rFonts w:cs="Times New Roman"/>
                <w:b/>
                <w:i w:val="0"/>
              </w:rPr>
              <w:t xml:space="preserve">: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E415CE" w:rsidTr="00754C08">
        <w:tc>
          <w:tcPr>
            <w:tcW w:w="2660" w:type="dxa"/>
            <w:shd w:val="clear" w:color="auto" w:fill="FFFFCC"/>
          </w:tcPr>
          <w:p w:rsidR="00E415CE" w:rsidRDefault="00E415CE" w:rsidP="00754C08">
            <w:pPr>
              <w:pStyle w:val="Listenabsatz"/>
              <w:ind w:left="357"/>
            </w:pPr>
          </w:p>
        </w:tc>
        <w:tc>
          <w:tcPr>
            <w:tcW w:w="11765" w:type="dxa"/>
            <w:shd w:val="clear" w:color="auto" w:fill="CCCCFF"/>
          </w:tcPr>
          <w:p w:rsidR="00E415CE" w:rsidRDefault="00754C08" w:rsidP="00A001F7">
            <w:pPr>
              <w:pStyle w:val="Listenabsatz"/>
              <w:numPr>
                <w:ilvl w:val="0"/>
                <w:numId w:val="10"/>
              </w:numPr>
              <w:ind w:left="357" w:hanging="357"/>
            </w:pPr>
            <w:r>
              <w:t xml:space="preserve">haben eine Vorstellung von der Größe der Einheitsquadrate, die zur Definition der </w:t>
            </w:r>
            <w:r w:rsidRPr="008D68C4">
              <w:rPr>
                <w:u w:val="single"/>
              </w:rPr>
              <w:t>Flächeneinheiten</w:t>
            </w:r>
            <w:r>
              <w:t xml:space="preserve"> verwendet werden. Sie rechnen </w:t>
            </w:r>
            <w:r w:rsidRPr="008D68C4">
              <w:rPr>
                <w:u w:val="single"/>
              </w:rPr>
              <w:t>Flächeninhalte</w:t>
            </w:r>
            <w:r>
              <w:t xml:space="preserve"> in verschiedene Einheiten (km², ha, a, m², dm², cm², mm²) um und begründen ihr Vorgehen z. B. anhand des Auslegens mit Einheitsquadraten; beim Umrechnen verwenden sie – unter Rückgriff </w:t>
            </w:r>
            <w:r>
              <w:lastRenderedPageBreak/>
              <w:t xml:space="preserve">auf Einheitentafeln – auch Angaben in </w:t>
            </w:r>
            <w:r w:rsidRPr="008D68C4">
              <w:rPr>
                <w:u w:val="single"/>
              </w:rPr>
              <w:t>Kommaschreibweise</w:t>
            </w:r>
            <w:r>
              <w:t>.</w:t>
            </w:r>
          </w:p>
          <w:p w:rsidR="00754C08" w:rsidRDefault="00754C08" w:rsidP="00A001F7">
            <w:pPr>
              <w:pStyle w:val="Listenabsatz"/>
              <w:numPr>
                <w:ilvl w:val="0"/>
                <w:numId w:val="10"/>
              </w:numPr>
              <w:ind w:left="357" w:hanging="357"/>
            </w:pPr>
            <w:r>
              <w:t xml:space="preserve">unterscheiden sicher zwischen den Begriffen </w:t>
            </w:r>
            <w:r w:rsidRPr="008D68C4">
              <w:rPr>
                <w:u w:val="single"/>
              </w:rPr>
              <w:t>Umfang</w:t>
            </w:r>
            <w:r>
              <w:t xml:space="preserve"> und </w:t>
            </w:r>
            <w:r w:rsidRPr="008D68C4">
              <w:rPr>
                <w:u w:val="single"/>
              </w:rPr>
              <w:t>Flächeninhalt</w:t>
            </w:r>
            <w:r>
              <w:t xml:space="preserve"> und nutzen die Formeln für Umfang bzw. Flächeninhalt von Quadraten und Rechtecken auch bei der Lösung realitätsnaher Problemstellungen; dabei verwenden sie gezielt auch veranschaulichende Skizzen und bestimmen ggf. Flächeninhalte näherungsweise durch Modellierung.</w:t>
            </w:r>
          </w:p>
        </w:tc>
      </w:tr>
    </w:tbl>
    <w:p w:rsidR="00B958DA" w:rsidRDefault="00B958DA"/>
    <w:p w:rsidR="008D68C4" w:rsidRDefault="008D68C4"/>
    <w:p w:rsidR="005F57CD" w:rsidRDefault="005F57CD"/>
    <w:p w:rsidR="005F57CD" w:rsidRDefault="005F57CD"/>
    <w:p w:rsidR="00F93B33" w:rsidRDefault="00F93B33" w:rsidP="00B958DA">
      <w:pPr>
        <w:spacing w:after="120"/>
        <w:rPr>
          <w:rFonts w:ascii="Arial" w:hAnsi="Arial" w:cs="Arial"/>
          <w:b/>
          <w:sz w:val="28"/>
          <w:szCs w:val="28"/>
        </w:rPr>
      </w:pPr>
    </w:p>
    <w:p w:rsidR="00B958DA" w:rsidRPr="00B958DA" w:rsidRDefault="00B958DA" w:rsidP="00B958DA">
      <w:pPr>
        <w:spacing w:after="120"/>
        <w:rPr>
          <w:rFonts w:ascii="Arial" w:hAnsi="Arial" w:cs="Arial"/>
          <w:b/>
          <w:sz w:val="28"/>
          <w:szCs w:val="28"/>
        </w:rPr>
      </w:pPr>
      <w:r>
        <w:rPr>
          <w:rFonts w:ascii="Arial" w:hAnsi="Arial" w:cs="Arial"/>
          <w:b/>
          <w:sz w:val="28"/>
          <w:szCs w:val="28"/>
        </w:rPr>
        <w:t>6</w:t>
      </w:r>
      <w:r w:rsidRPr="00E415CE">
        <w:rPr>
          <w:rFonts w:ascii="Arial" w:hAnsi="Arial" w:cs="Arial"/>
          <w:b/>
          <w:sz w:val="28"/>
          <w:szCs w:val="28"/>
        </w:rPr>
        <w:t>. Klasse</w:t>
      </w:r>
    </w:p>
    <w:tbl>
      <w:tblPr>
        <w:tblStyle w:val="Tabellenraster"/>
        <w:tblW w:w="14425" w:type="dxa"/>
        <w:tblLook w:val="04A0" w:firstRow="1" w:lastRow="0" w:firstColumn="1" w:lastColumn="0" w:noHBand="0" w:noVBand="1"/>
      </w:tblPr>
      <w:tblGrid>
        <w:gridCol w:w="2660"/>
        <w:gridCol w:w="11765"/>
      </w:tblGrid>
      <w:tr w:rsidR="00B958DA" w:rsidTr="006242AC">
        <w:tc>
          <w:tcPr>
            <w:tcW w:w="14425" w:type="dxa"/>
            <w:gridSpan w:val="2"/>
            <w:shd w:val="clear" w:color="auto" w:fill="FFFF00"/>
          </w:tcPr>
          <w:p w:rsidR="00B958DA" w:rsidRDefault="00B958DA" w:rsidP="00643785">
            <w:r w:rsidRPr="00E415CE">
              <w:rPr>
                <w:rFonts w:ascii="Arial" w:hAnsi="Arial" w:cs="Arial"/>
                <w:sz w:val="28"/>
                <w:szCs w:val="28"/>
              </w:rPr>
              <w:t xml:space="preserve">Lernbereich </w:t>
            </w:r>
            <w:r w:rsidR="00643785">
              <w:rPr>
                <w:rFonts w:ascii="Arial" w:hAnsi="Arial" w:cs="Arial"/>
                <w:sz w:val="28"/>
                <w:szCs w:val="28"/>
              </w:rPr>
              <w:t>1: Rationale Zahlen</w:t>
            </w:r>
          </w:p>
        </w:tc>
      </w:tr>
      <w:tr w:rsidR="00643785" w:rsidTr="006242AC">
        <w:tc>
          <w:tcPr>
            <w:tcW w:w="14425" w:type="dxa"/>
            <w:gridSpan w:val="2"/>
            <w:shd w:val="clear" w:color="auto" w:fill="FFFF00"/>
          </w:tcPr>
          <w:p w:rsidR="00643785" w:rsidRPr="00E415CE" w:rsidRDefault="00643785" w:rsidP="00643785">
            <w:pPr>
              <w:ind w:left="1134"/>
              <w:rPr>
                <w:rFonts w:ascii="Arial" w:hAnsi="Arial" w:cs="Arial"/>
                <w:sz w:val="28"/>
                <w:szCs w:val="28"/>
              </w:rPr>
            </w:pPr>
            <w:r>
              <w:rPr>
                <w:rFonts w:ascii="Arial" w:hAnsi="Arial" w:cs="Arial"/>
                <w:sz w:val="28"/>
                <w:szCs w:val="28"/>
              </w:rPr>
              <w:t>1.1 Bruchteile und Bruchzahlen</w:t>
            </w:r>
          </w:p>
        </w:tc>
      </w:tr>
      <w:tr w:rsidR="00B958DA" w:rsidRPr="00E415CE" w:rsidTr="00643785">
        <w:tc>
          <w:tcPr>
            <w:tcW w:w="2660" w:type="dxa"/>
            <w:shd w:val="clear" w:color="auto" w:fill="FFFFCC"/>
            <w:vAlign w:val="center"/>
          </w:tcPr>
          <w:p w:rsidR="00B958DA" w:rsidRPr="00E415CE" w:rsidRDefault="00B958DA" w:rsidP="00887B77">
            <w:pPr>
              <w:rPr>
                <w:b/>
              </w:rPr>
            </w:pPr>
          </w:p>
        </w:tc>
        <w:tc>
          <w:tcPr>
            <w:tcW w:w="11765" w:type="dxa"/>
            <w:shd w:val="clear" w:color="auto" w:fill="CCCCFF"/>
            <w:vAlign w:val="center"/>
          </w:tcPr>
          <w:p w:rsidR="00B958DA" w:rsidRPr="00E415CE" w:rsidRDefault="00B958DA" w:rsidP="00887B77">
            <w:pPr>
              <w:rPr>
                <w:b/>
              </w:rPr>
            </w:pPr>
            <w:r w:rsidRPr="00E415CE">
              <w:rPr>
                <w:rStyle w:val="HTMLZitat"/>
                <w:rFonts w:cs="Times New Roman"/>
                <w:b/>
                <w:i w:val="0"/>
              </w:rPr>
              <w:t>Kompetenzerwartungen</w:t>
            </w:r>
            <w:r w:rsidR="00643785">
              <w:rPr>
                <w:rStyle w:val="HTMLZitat"/>
                <w:rFonts w:cs="Times New Roman"/>
                <w:b/>
                <w:i w:val="0"/>
              </w:rPr>
              <w:t xml:space="preserve"> und Inhalte</w:t>
            </w:r>
            <w:r w:rsidRPr="00E415CE">
              <w:rPr>
                <w:rStyle w:val="HTMLZitat"/>
                <w:rFonts w:cs="Times New Roman"/>
                <w:b/>
                <w:i w:val="0"/>
              </w:rPr>
              <w:t xml:space="preserve">: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E415CE" w:rsidTr="00643785">
        <w:tc>
          <w:tcPr>
            <w:tcW w:w="2660" w:type="dxa"/>
            <w:shd w:val="clear" w:color="auto" w:fill="FFFFCC"/>
          </w:tcPr>
          <w:p w:rsidR="00E415CE" w:rsidRDefault="00E415CE" w:rsidP="00643785">
            <w:pPr>
              <w:pStyle w:val="Listenabsatz"/>
              <w:ind w:left="357"/>
            </w:pPr>
          </w:p>
        </w:tc>
        <w:tc>
          <w:tcPr>
            <w:tcW w:w="11765" w:type="dxa"/>
            <w:shd w:val="clear" w:color="auto" w:fill="CCCCFF"/>
          </w:tcPr>
          <w:p w:rsidR="00E415CE" w:rsidRDefault="00643785" w:rsidP="00F93B33">
            <w:pPr>
              <w:pStyle w:val="Listenabsatz"/>
              <w:numPr>
                <w:ilvl w:val="0"/>
                <w:numId w:val="12"/>
              </w:numPr>
              <w:ind w:left="357" w:hanging="357"/>
            </w:pPr>
            <w:r>
              <w:t xml:space="preserve">deuten Aussagen, in denen Anteile vorkommen, richtig und veranschaulichen Anteile auf unterschiedliche Weise, insbesondere mit </w:t>
            </w:r>
            <w:r w:rsidRPr="008D68C4">
              <w:rPr>
                <w:u w:val="single"/>
              </w:rPr>
              <w:t>Flächendiagrammen</w:t>
            </w:r>
            <w:r>
              <w:t xml:space="preserve"> (</w:t>
            </w:r>
            <w:r w:rsidRPr="008D68C4">
              <w:rPr>
                <w:u w:val="single"/>
              </w:rPr>
              <w:t>Kreis- und Rechteckdiagramme</w:t>
            </w:r>
            <w:r>
              <w:t>). Sie bestimmen Anteile, Bruchteile sowie das jeweils zugehörige Ganze.</w:t>
            </w:r>
          </w:p>
          <w:p w:rsidR="00643785" w:rsidRDefault="00643785" w:rsidP="00F93B33">
            <w:pPr>
              <w:pStyle w:val="Listenabsatz"/>
              <w:numPr>
                <w:ilvl w:val="0"/>
                <w:numId w:val="12"/>
              </w:numPr>
              <w:ind w:left="357" w:hanging="357"/>
            </w:pPr>
            <w:r>
              <w:t xml:space="preserve">erläutern anhand von Beispielen, dass Erweitern und Kürzen den Wert eines Bruchs nicht verändern. Sie wählen beim Größenvergleich von </w:t>
            </w:r>
            <w:r w:rsidRPr="008D68C4">
              <w:rPr>
                <w:u w:val="single"/>
              </w:rPr>
              <w:t>Brüche</w:t>
            </w:r>
            <w:r>
              <w:t>n geeignete Strategien; bei Verwendung des Hauptnenners ermitteln sie diesen auch mithilfe eines algorithmischen (z. B. auf der Primfaktorzerlegung basierenden) Verfahrens.</w:t>
            </w:r>
          </w:p>
          <w:p w:rsidR="00643785" w:rsidRDefault="00643785" w:rsidP="00F93B33">
            <w:pPr>
              <w:pStyle w:val="Listenabsatz"/>
              <w:numPr>
                <w:ilvl w:val="0"/>
                <w:numId w:val="12"/>
              </w:numPr>
              <w:ind w:left="357" w:hanging="357"/>
            </w:pPr>
            <w:r>
              <w:t xml:space="preserve">wissen, dass </w:t>
            </w:r>
            <w:r w:rsidRPr="008D68C4">
              <w:rPr>
                <w:u w:val="single"/>
              </w:rPr>
              <w:t>Prozentangaben</w:t>
            </w:r>
            <w:r>
              <w:t xml:space="preserve"> eine im Alltag häufig verwendete alternative Schreibweise für Brüche sind, und bearbeiten damit einfache alltagsbezogene Fragestellungen.</w:t>
            </w:r>
          </w:p>
          <w:p w:rsidR="00643785" w:rsidRDefault="00643785" w:rsidP="00F93B33">
            <w:pPr>
              <w:pStyle w:val="Listenabsatz"/>
              <w:numPr>
                <w:ilvl w:val="0"/>
                <w:numId w:val="12"/>
              </w:numPr>
              <w:ind w:left="357" w:hanging="357"/>
            </w:pPr>
            <w:r>
              <w:t xml:space="preserve">interpretieren Brüche als Darstellungen von Zahlen. Sie beschreiben die Zusammenhänge zwischen den natürlichen, den ganzen und den rationalen Zahlen und erläutern wesentliche Unterschiede zwischen den entsprechenden Zahlenmengen (z. B. Eindeutigkeit der Darstellung, Existenz von Vorgänger und Nachfolger). Sie stellen </w:t>
            </w:r>
            <w:r w:rsidRPr="008D68C4">
              <w:rPr>
                <w:u w:val="single"/>
              </w:rPr>
              <w:t>positive und negative Bruchzahlen</w:t>
            </w:r>
            <w:r>
              <w:t xml:space="preserve"> auf der Zahlengeraden dar und ordnen diese begründet der Größe nach.</w:t>
            </w:r>
          </w:p>
        </w:tc>
      </w:tr>
      <w:tr w:rsidR="00643785" w:rsidRPr="00643785" w:rsidTr="007C0A2E">
        <w:tc>
          <w:tcPr>
            <w:tcW w:w="14425" w:type="dxa"/>
            <w:gridSpan w:val="2"/>
            <w:shd w:val="clear" w:color="auto" w:fill="FFFF00"/>
          </w:tcPr>
          <w:p w:rsidR="00643785" w:rsidRPr="00643785" w:rsidRDefault="00643785" w:rsidP="00643785">
            <w:pPr>
              <w:pStyle w:val="Listenabsatz"/>
              <w:ind w:left="1134"/>
              <w:rPr>
                <w:rFonts w:ascii="Arial" w:hAnsi="Arial" w:cs="Arial"/>
                <w:sz w:val="28"/>
                <w:szCs w:val="28"/>
              </w:rPr>
            </w:pPr>
            <w:r w:rsidRPr="00643785">
              <w:rPr>
                <w:rFonts w:ascii="Arial" w:hAnsi="Arial" w:cs="Arial"/>
                <w:sz w:val="28"/>
                <w:szCs w:val="28"/>
              </w:rPr>
              <w:t>1.2 Dezimalbrüche</w:t>
            </w:r>
          </w:p>
        </w:tc>
      </w:tr>
      <w:tr w:rsidR="00643785" w:rsidTr="00643785">
        <w:tc>
          <w:tcPr>
            <w:tcW w:w="2660" w:type="dxa"/>
            <w:shd w:val="clear" w:color="auto" w:fill="FFFFCC"/>
          </w:tcPr>
          <w:p w:rsidR="00643785" w:rsidRDefault="00643785" w:rsidP="00643785">
            <w:pPr>
              <w:pStyle w:val="Listenabsatz"/>
              <w:ind w:left="357"/>
            </w:pPr>
          </w:p>
        </w:tc>
        <w:tc>
          <w:tcPr>
            <w:tcW w:w="11765" w:type="dxa"/>
            <w:shd w:val="clear" w:color="auto" w:fill="CCCCFF"/>
          </w:tcPr>
          <w:p w:rsidR="00643785" w:rsidRDefault="00643785" w:rsidP="00643785">
            <w:pPr>
              <w:pStyle w:val="Listenabsatz"/>
              <w:ind w:left="0"/>
            </w:pPr>
            <w:r w:rsidRPr="00E415CE">
              <w:rPr>
                <w:rStyle w:val="HTMLZitat"/>
                <w:rFonts w:cs="Times New Roman"/>
                <w:b/>
                <w:i w:val="0"/>
              </w:rPr>
              <w:t>Kompetenzerwartungen</w:t>
            </w:r>
            <w:r>
              <w:rPr>
                <w:rStyle w:val="HTMLZitat"/>
                <w:rFonts w:cs="Times New Roman"/>
                <w:b/>
                <w:i w:val="0"/>
              </w:rPr>
              <w:t xml:space="preserve"> und Inhalte</w:t>
            </w:r>
            <w:r w:rsidRPr="00E415CE">
              <w:rPr>
                <w:rStyle w:val="HTMLZitat"/>
                <w:rFonts w:cs="Times New Roman"/>
                <w:b/>
                <w:i w:val="0"/>
              </w:rPr>
              <w:t xml:space="preserve">: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643785" w:rsidTr="00643785">
        <w:tc>
          <w:tcPr>
            <w:tcW w:w="2660" w:type="dxa"/>
            <w:shd w:val="clear" w:color="auto" w:fill="FFFFCC"/>
          </w:tcPr>
          <w:p w:rsidR="00643785" w:rsidRDefault="00643785" w:rsidP="00643785">
            <w:pPr>
              <w:pStyle w:val="Listenabsatz"/>
              <w:ind w:left="357"/>
            </w:pPr>
          </w:p>
        </w:tc>
        <w:tc>
          <w:tcPr>
            <w:tcW w:w="11765" w:type="dxa"/>
            <w:shd w:val="clear" w:color="auto" w:fill="CCCCFF"/>
          </w:tcPr>
          <w:p w:rsidR="00643785" w:rsidRDefault="00643785" w:rsidP="00F93B33">
            <w:pPr>
              <w:pStyle w:val="Listenabsatz"/>
              <w:numPr>
                <w:ilvl w:val="0"/>
                <w:numId w:val="12"/>
              </w:numPr>
              <w:ind w:left="357" w:hanging="357"/>
            </w:pPr>
            <w:r>
              <w:t xml:space="preserve">verstehen, wie mithilfe von Zehnteln, Hundertsteln etc. die Stellenwerttafel erweitert wird, und interpretieren die bislang nur bei Größen verwendete Kommaschreibweise neu. Sie runden </w:t>
            </w:r>
            <w:r w:rsidRPr="008D68C4">
              <w:rPr>
                <w:u w:val="single"/>
              </w:rPr>
              <w:t>Dezimalbrüche</w:t>
            </w:r>
            <w:r>
              <w:t xml:space="preserve"> in Analogie zu den ganzen Zahlen.</w:t>
            </w:r>
          </w:p>
          <w:p w:rsidR="00643785" w:rsidRDefault="00643785" w:rsidP="00F93B33">
            <w:pPr>
              <w:pStyle w:val="Listenabsatz"/>
              <w:numPr>
                <w:ilvl w:val="0"/>
                <w:numId w:val="12"/>
              </w:numPr>
              <w:ind w:left="357" w:hanging="357"/>
            </w:pPr>
            <w:r w:rsidRPr="008D68C4">
              <w:rPr>
                <w:u w:val="single"/>
              </w:rPr>
              <w:t>wandeln Brüche in Dezimalbrüche um</w:t>
            </w:r>
            <w:r>
              <w:t xml:space="preserve"> und stellen umgekehrt endliche Dezimalbrüche sowie rein periodische </w:t>
            </w:r>
            <w:r>
              <w:lastRenderedPageBreak/>
              <w:t xml:space="preserve">Dezimalbrüche der Periodenlänge eins als Brüche dar; [...] Mit </w:t>
            </w:r>
            <w:r w:rsidRPr="008D68C4">
              <w:rPr>
                <w:u w:val="single"/>
              </w:rPr>
              <w:t>Ergebnisanzeigen</w:t>
            </w:r>
            <w:r>
              <w:t xml:space="preserve"> digitaler Rechenhilfen (z. B. Taschenrechner-App) gehen sie reflektiert um, z. B. mit „0,166666667“ bei Eingabe von „1 : 6“.</w:t>
            </w:r>
          </w:p>
        </w:tc>
      </w:tr>
      <w:tr w:rsidR="001620EF" w:rsidRPr="00643785" w:rsidTr="00887B77">
        <w:tc>
          <w:tcPr>
            <w:tcW w:w="14425" w:type="dxa"/>
            <w:gridSpan w:val="2"/>
            <w:shd w:val="clear" w:color="auto" w:fill="FFFF00"/>
          </w:tcPr>
          <w:p w:rsidR="001620EF" w:rsidRPr="00643785" w:rsidRDefault="001620EF" w:rsidP="001620EF">
            <w:pPr>
              <w:pStyle w:val="Listenabsatz"/>
              <w:ind w:left="1134"/>
              <w:rPr>
                <w:rFonts w:ascii="Arial" w:hAnsi="Arial" w:cs="Arial"/>
                <w:sz w:val="28"/>
                <w:szCs w:val="28"/>
              </w:rPr>
            </w:pPr>
            <w:r w:rsidRPr="00643785">
              <w:rPr>
                <w:rFonts w:ascii="Arial" w:hAnsi="Arial" w:cs="Arial"/>
                <w:sz w:val="28"/>
                <w:szCs w:val="28"/>
              </w:rPr>
              <w:lastRenderedPageBreak/>
              <w:t>1.</w:t>
            </w:r>
            <w:r>
              <w:rPr>
                <w:rFonts w:ascii="Arial" w:hAnsi="Arial" w:cs="Arial"/>
                <w:sz w:val="28"/>
                <w:szCs w:val="28"/>
              </w:rPr>
              <w:t>3 Addition und Subtraktion rationaler Zahlen</w:t>
            </w:r>
          </w:p>
        </w:tc>
      </w:tr>
      <w:tr w:rsidR="001620EF" w:rsidTr="00887B77">
        <w:tc>
          <w:tcPr>
            <w:tcW w:w="2660" w:type="dxa"/>
            <w:shd w:val="clear" w:color="auto" w:fill="FFFFCC"/>
          </w:tcPr>
          <w:p w:rsidR="001620EF" w:rsidRDefault="001620EF" w:rsidP="00887B77">
            <w:pPr>
              <w:pStyle w:val="Listenabsatz"/>
              <w:ind w:left="357"/>
            </w:pPr>
          </w:p>
        </w:tc>
        <w:tc>
          <w:tcPr>
            <w:tcW w:w="11765" w:type="dxa"/>
            <w:shd w:val="clear" w:color="auto" w:fill="CCCCFF"/>
          </w:tcPr>
          <w:p w:rsidR="001620EF" w:rsidRDefault="001620EF" w:rsidP="00887B77">
            <w:pPr>
              <w:pStyle w:val="Listenabsatz"/>
              <w:ind w:left="0"/>
            </w:pPr>
            <w:r w:rsidRPr="00E415CE">
              <w:rPr>
                <w:rStyle w:val="HTMLZitat"/>
                <w:rFonts w:cs="Times New Roman"/>
                <w:b/>
                <w:i w:val="0"/>
              </w:rPr>
              <w:t>Kompetenzerwartungen</w:t>
            </w:r>
            <w:r>
              <w:rPr>
                <w:rStyle w:val="HTMLZitat"/>
                <w:rFonts w:cs="Times New Roman"/>
                <w:b/>
                <w:i w:val="0"/>
              </w:rPr>
              <w:t xml:space="preserve"> und Inhalte</w:t>
            </w:r>
            <w:r w:rsidRPr="00E415CE">
              <w:rPr>
                <w:rStyle w:val="HTMLZitat"/>
                <w:rFonts w:cs="Times New Roman"/>
                <w:b/>
                <w:i w:val="0"/>
              </w:rPr>
              <w:t xml:space="preserve">: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643785" w:rsidTr="00643785">
        <w:tc>
          <w:tcPr>
            <w:tcW w:w="2660" w:type="dxa"/>
            <w:shd w:val="clear" w:color="auto" w:fill="FFFFCC"/>
          </w:tcPr>
          <w:p w:rsidR="00643785" w:rsidRDefault="00643785" w:rsidP="00643785">
            <w:pPr>
              <w:pStyle w:val="Listenabsatz"/>
              <w:ind w:left="357"/>
            </w:pPr>
          </w:p>
        </w:tc>
        <w:tc>
          <w:tcPr>
            <w:tcW w:w="11765" w:type="dxa"/>
            <w:shd w:val="clear" w:color="auto" w:fill="CCCCFF"/>
          </w:tcPr>
          <w:p w:rsidR="00643785" w:rsidRDefault="001620EF" w:rsidP="00F93B33">
            <w:pPr>
              <w:pStyle w:val="Listenabsatz"/>
              <w:numPr>
                <w:ilvl w:val="0"/>
                <w:numId w:val="12"/>
              </w:numPr>
              <w:ind w:left="357" w:hanging="357"/>
            </w:pPr>
            <w:r>
              <w:t>addieren und subtrahieren Brüche, gemischte Zahlen und Dezimalbrüche, bei angemessen gewählten Zahlen auch im Kopf.</w:t>
            </w:r>
          </w:p>
          <w:p w:rsidR="001620EF" w:rsidRDefault="001620EF" w:rsidP="00F93B33">
            <w:pPr>
              <w:pStyle w:val="Listenabsatz"/>
              <w:numPr>
                <w:ilvl w:val="0"/>
                <w:numId w:val="12"/>
              </w:numPr>
              <w:ind w:left="357" w:hanging="357"/>
            </w:pPr>
            <w:r>
              <w:t>erkennen und nutzen Rechenvorteile, die sich durch Anwendung von Kommutativ- und Assoziativgesetz bzw. dadurch ergeben, dass man die hinsichtlich des Rechenaufwands jeweils günstigste Darstellungsform rationaler Zahlen für die Berechnung auswählt.</w:t>
            </w:r>
          </w:p>
          <w:p w:rsidR="001620EF" w:rsidRDefault="001620EF" w:rsidP="00F93B33">
            <w:pPr>
              <w:pStyle w:val="Listenabsatz"/>
              <w:numPr>
                <w:ilvl w:val="0"/>
                <w:numId w:val="12"/>
              </w:numPr>
              <w:ind w:left="357" w:hanging="357"/>
            </w:pPr>
            <w:r>
              <w:t>überprüfen bei Rechnungen in inner- und außermathematischen Zusammenhängen durch eine Überschlags</w:t>
            </w:r>
            <w:r w:rsidR="008D68C4">
              <w:softHyphen/>
            </w:r>
            <w:r>
              <w:t>rechnung, ob ihr Ergebnis die richtige Größenordnung hat.</w:t>
            </w:r>
          </w:p>
        </w:tc>
      </w:tr>
      <w:tr w:rsidR="001620EF" w:rsidRPr="00643785" w:rsidTr="00887B77">
        <w:tc>
          <w:tcPr>
            <w:tcW w:w="14425" w:type="dxa"/>
            <w:gridSpan w:val="2"/>
            <w:shd w:val="clear" w:color="auto" w:fill="FFFF00"/>
          </w:tcPr>
          <w:p w:rsidR="001620EF" w:rsidRPr="00643785" w:rsidRDefault="001620EF" w:rsidP="0016375D">
            <w:pPr>
              <w:pStyle w:val="Listenabsatz"/>
              <w:ind w:left="1134"/>
              <w:rPr>
                <w:rFonts w:ascii="Arial" w:hAnsi="Arial" w:cs="Arial"/>
                <w:sz w:val="28"/>
                <w:szCs w:val="28"/>
              </w:rPr>
            </w:pPr>
            <w:r w:rsidRPr="00643785">
              <w:rPr>
                <w:rFonts w:ascii="Arial" w:hAnsi="Arial" w:cs="Arial"/>
                <w:sz w:val="28"/>
                <w:szCs w:val="28"/>
              </w:rPr>
              <w:t>1.</w:t>
            </w:r>
            <w:r w:rsidR="0016375D">
              <w:rPr>
                <w:rFonts w:ascii="Arial" w:hAnsi="Arial" w:cs="Arial"/>
                <w:sz w:val="28"/>
                <w:szCs w:val="28"/>
              </w:rPr>
              <w:t>4 Multiplikation und Division rationaler Zahlen</w:t>
            </w:r>
          </w:p>
        </w:tc>
      </w:tr>
      <w:tr w:rsidR="001620EF" w:rsidTr="00887B77">
        <w:tc>
          <w:tcPr>
            <w:tcW w:w="2660" w:type="dxa"/>
            <w:shd w:val="clear" w:color="auto" w:fill="FFFFCC"/>
          </w:tcPr>
          <w:p w:rsidR="001620EF" w:rsidRDefault="001620EF" w:rsidP="00887B77">
            <w:pPr>
              <w:pStyle w:val="Listenabsatz"/>
              <w:ind w:left="357"/>
            </w:pPr>
          </w:p>
        </w:tc>
        <w:tc>
          <w:tcPr>
            <w:tcW w:w="11765" w:type="dxa"/>
            <w:shd w:val="clear" w:color="auto" w:fill="CCCCFF"/>
          </w:tcPr>
          <w:p w:rsidR="001620EF" w:rsidRDefault="001620EF" w:rsidP="00887B77">
            <w:pPr>
              <w:pStyle w:val="Listenabsatz"/>
              <w:ind w:left="0"/>
            </w:pPr>
            <w:r w:rsidRPr="00E415CE">
              <w:rPr>
                <w:rStyle w:val="HTMLZitat"/>
                <w:rFonts w:cs="Times New Roman"/>
                <w:b/>
                <w:i w:val="0"/>
              </w:rPr>
              <w:t>Kompetenzerwartungen</w:t>
            </w:r>
            <w:r>
              <w:rPr>
                <w:rStyle w:val="HTMLZitat"/>
                <w:rFonts w:cs="Times New Roman"/>
                <w:b/>
                <w:i w:val="0"/>
              </w:rPr>
              <w:t xml:space="preserve"> und Inhalte</w:t>
            </w:r>
            <w:r w:rsidRPr="00E415CE">
              <w:rPr>
                <w:rStyle w:val="HTMLZitat"/>
                <w:rFonts w:cs="Times New Roman"/>
                <w:b/>
                <w:i w:val="0"/>
              </w:rPr>
              <w:t xml:space="preserve">: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643785" w:rsidTr="00643785">
        <w:tc>
          <w:tcPr>
            <w:tcW w:w="2660" w:type="dxa"/>
            <w:shd w:val="clear" w:color="auto" w:fill="FFFFCC"/>
          </w:tcPr>
          <w:p w:rsidR="00643785" w:rsidRDefault="00643785" w:rsidP="00643785">
            <w:pPr>
              <w:pStyle w:val="Listenabsatz"/>
              <w:ind w:left="357"/>
            </w:pPr>
          </w:p>
        </w:tc>
        <w:tc>
          <w:tcPr>
            <w:tcW w:w="11765" w:type="dxa"/>
            <w:shd w:val="clear" w:color="auto" w:fill="CCCCFF"/>
          </w:tcPr>
          <w:p w:rsidR="00643785" w:rsidRDefault="0016375D" w:rsidP="00F93B33">
            <w:pPr>
              <w:pStyle w:val="Listenabsatz"/>
              <w:numPr>
                <w:ilvl w:val="0"/>
                <w:numId w:val="12"/>
              </w:numPr>
              <w:ind w:left="357" w:hanging="357"/>
            </w:pPr>
            <w:r>
              <w:t>berechnen auf der Grundlage tragfähiger inhaltlicher Vorstellungen zu den Operationen (z. B. Anteilsbildung, Verteilen, Aufteilen) die Werte von Produkten und Quotienten rationaler Zahlen in verschiedenen Darstellungs</w:t>
            </w:r>
            <w:r w:rsidR="008D68C4">
              <w:softHyphen/>
            </w:r>
            <w:r>
              <w:t>formen (insbesondere Bruch, gemischte Zahl, Dezimalbruch), bei angemessen gewählten Zahlen auch im Kopf.</w:t>
            </w:r>
          </w:p>
          <w:p w:rsidR="0016375D" w:rsidRDefault="0016375D" w:rsidP="00F93B33">
            <w:pPr>
              <w:pStyle w:val="Listenabsatz"/>
              <w:numPr>
                <w:ilvl w:val="0"/>
                <w:numId w:val="12"/>
              </w:numPr>
              <w:ind w:left="357" w:hanging="357"/>
            </w:pPr>
            <w:r>
              <w:t>berechnen die Werte von Potenzen mit natürlichen Exponenten und rationalen Basen; sie deuten Potenzen mit negativen ganzzahligen Exponenten als Schreibweise für Brüche mit Zähler 1, wenden dies in Rechnungen an und interpretieren Darstellungen von Alltagsgrößen, die Zehnerpotenzen mit negativen Exponenten enthalten.</w:t>
            </w:r>
          </w:p>
          <w:p w:rsidR="0016375D" w:rsidRDefault="0016375D" w:rsidP="00F93B33">
            <w:pPr>
              <w:pStyle w:val="Listenabsatz"/>
              <w:numPr>
                <w:ilvl w:val="0"/>
                <w:numId w:val="12"/>
              </w:numPr>
              <w:ind w:left="357" w:hanging="357"/>
            </w:pPr>
            <w:r>
              <w:t>erkennen und nutzen Rechenvorteile, die sich durch Anwendung von Kommutativ- und Assoziativgesetz bzw. dadurch ergeben, dass man die hinsichtlich des Rechenaufwands jeweils günstigste Darstellungsform rationaler Zahlen für die Berechnung auswählt.</w:t>
            </w:r>
          </w:p>
        </w:tc>
      </w:tr>
      <w:tr w:rsidR="001620EF" w:rsidRPr="00643785" w:rsidTr="00887B77">
        <w:tc>
          <w:tcPr>
            <w:tcW w:w="14425" w:type="dxa"/>
            <w:gridSpan w:val="2"/>
            <w:shd w:val="clear" w:color="auto" w:fill="FFFF00"/>
          </w:tcPr>
          <w:p w:rsidR="001620EF" w:rsidRPr="00643785" w:rsidRDefault="0016375D" w:rsidP="0016375D">
            <w:pPr>
              <w:pStyle w:val="Listenabsatz"/>
              <w:ind w:left="0"/>
              <w:rPr>
                <w:rFonts w:ascii="Arial" w:hAnsi="Arial" w:cs="Arial"/>
                <w:sz w:val="28"/>
                <w:szCs w:val="28"/>
              </w:rPr>
            </w:pPr>
            <w:r>
              <w:rPr>
                <w:rFonts w:ascii="Arial" w:hAnsi="Arial" w:cs="Arial"/>
                <w:sz w:val="28"/>
                <w:szCs w:val="28"/>
              </w:rPr>
              <w:t xml:space="preserve">Lernbereich </w:t>
            </w:r>
            <w:r w:rsidR="001620EF" w:rsidRPr="00643785">
              <w:rPr>
                <w:rFonts w:ascii="Arial" w:hAnsi="Arial" w:cs="Arial"/>
                <w:sz w:val="28"/>
                <w:szCs w:val="28"/>
              </w:rPr>
              <w:t>2</w:t>
            </w:r>
            <w:r>
              <w:rPr>
                <w:rFonts w:ascii="Arial" w:hAnsi="Arial" w:cs="Arial"/>
                <w:sz w:val="28"/>
                <w:szCs w:val="28"/>
              </w:rPr>
              <w:t>: Flächeninhalt und Volumen</w:t>
            </w:r>
          </w:p>
        </w:tc>
      </w:tr>
      <w:tr w:rsidR="001620EF" w:rsidRPr="00643785" w:rsidTr="00887B77">
        <w:tc>
          <w:tcPr>
            <w:tcW w:w="14425" w:type="dxa"/>
            <w:gridSpan w:val="2"/>
            <w:shd w:val="clear" w:color="auto" w:fill="FFFF00"/>
          </w:tcPr>
          <w:p w:rsidR="001620EF" w:rsidRPr="00643785" w:rsidRDefault="0016375D" w:rsidP="0016375D">
            <w:pPr>
              <w:pStyle w:val="Listenabsatz"/>
              <w:ind w:left="1134"/>
              <w:rPr>
                <w:rFonts w:ascii="Arial" w:hAnsi="Arial" w:cs="Arial"/>
                <w:sz w:val="28"/>
                <w:szCs w:val="28"/>
              </w:rPr>
            </w:pPr>
            <w:r>
              <w:rPr>
                <w:rFonts w:ascii="Arial" w:hAnsi="Arial" w:cs="Arial"/>
                <w:sz w:val="28"/>
                <w:szCs w:val="28"/>
              </w:rPr>
              <w:t>2.1</w:t>
            </w:r>
            <w:r w:rsidR="001620EF" w:rsidRPr="00643785">
              <w:rPr>
                <w:rFonts w:ascii="Arial" w:hAnsi="Arial" w:cs="Arial"/>
                <w:sz w:val="28"/>
                <w:szCs w:val="28"/>
              </w:rPr>
              <w:t xml:space="preserve"> </w:t>
            </w:r>
            <w:r>
              <w:rPr>
                <w:rFonts w:ascii="Arial" w:hAnsi="Arial" w:cs="Arial"/>
                <w:sz w:val="28"/>
                <w:szCs w:val="28"/>
              </w:rPr>
              <w:t>Flächeninhalt</w:t>
            </w:r>
          </w:p>
        </w:tc>
      </w:tr>
      <w:tr w:rsidR="001620EF" w:rsidTr="00887B77">
        <w:tc>
          <w:tcPr>
            <w:tcW w:w="2660" w:type="dxa"/>
            <w:shd w:val="clear" w:color="auto" w:fill="FFFFCC"/>
          </w:tcPr>
          <w:p w:rsidR="001620EF" w:rsidRDefault="001620EF" w:rsidP="00887B77">
            <w:pPr>
              <w:pStyle w:val="Listenabsatz"/>
              <w:ind w:left="357"/>
            </w:pPr>
          </w:p>
        </w:tc>
        <w:tc>
          <w:tcPr>
            <w:tcW w:w="11765" w:type="dxa"/>
            <w:shd w:val="clear" w:color="auto" w:fill="CCCCFF"/>
          </w:tcPr>
          <w:p w:rsidR="001620EF" w:rsidRDefault="001620EF" w:rsidP="00887B77">
            <w:pPr>
              <w:pStyle w:val="Listenabsatz"/>
              <w:ind w:left="0"/>
            </w:pPr>
            <w:r w:rsidRPr="00E415CE">
              <w:rPr>
                <w:rStyle w:val="HTMLZitat"/>
                <w:rFonts w:cs="Times New Roman"/>
                <w:b/>
                <w:i w:val="0"/>
              </w:rPr>
              <w:t>Kompetenzerwartungen</w:t>
            </w:r>
            <w:r>
              <w:rPr>
                <w:rStyle w:val="HTMLZitat"/>
                <w:rFonts w:cs="Times New Roman"/>
                <w:b/>
                <w:i w:val="0"/>
              </w:rPr>
              <w:t xml:space="preserve"> und Inhalte</w:t>
            </w:r>
            <w:r w:rsidRPr="00E415CE">
              <w:rPr>
                <w:rStyle w:val="HTMLZitat"/>
                <w:rFonts w:cs="Times New Roman"/>
                <w:b/>
                <w:i w:val="0"/>
              </w:rPr>
              <w:t xml:space="preserve">: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1620EF" w:rsidTr="00643785">
        <w:tc>
          <w:tcPr>
            <w:tcW w:w="2660" w:type="dxa"/>
            <w:shd w:val="clear" w:color="auto" w:fill="FFFFCC"/>
          </w:tcPr>
          <w:p w:rsidR="001620EF" w:rsidRDefault="001620EF" w:rsidP="00643785">
            <w:pPr>
              <w:pStyle w:val="Listenabsatz"/>
              <w:ind w:left="357"/>
            </w:pPr>
          </w:p>
        </w:tc>
        <w:tc>
          <w:tcPr>
            <w:tcW w:w="11765" w:type="dxa"/>
            <w:shd w:val="clear" w:color="auto" w:fill="CCCCFF"/>
          </w:tcPr>
          <w:p w:rsidR="001620EF" w:rsidRDefault="0016375D" w:rsidP="00F93B33">
            <w:pPr>
              <w:pStyle w:val="Listenabsatz"/>
              <w:numPr>
                <w:ilvl w:val="0"/>
                <w:numId w:val="12"/>
              </w:numPr>
              <w:ind w:left="357" w:hanging="357"/>
            </w:pPr>
            <w:r>
              <w:t>wenden die Formeln zur Berechnung der Flächeninhalte von Parallelogrammen, Dreiecken bzw. Trapezen flexibel an und identifizieren die für die Berechnung relevanten Strecken situationsgerecht, auch im Rahmen der näherungsweisen Bestimmung von Flächeninhalten durch Modellierung.</w:t>
            </w:r>
          </w:p>
          <w:p w:rsidR="0016375D" w:rsidRDefault="0016375D" w:rsidP="00F93B33">
            <w:pPr>
              <w:pStyle w:val="Listenabsatz"/>
              <w:numPr>
                <w:ilvl w:val="0"/>
                <w:numId w:val="12"/>
              </w:numPr>
              <w:ind w:left="357" w:hanging="357"/>
            </w:pPr>
            <w:r>
              <w:t>setzen die Formeln zur Berechnung der Flächeninhalte von Dreiecken bzw. Parallelogrammen für Argumentationen beim Vergleich der Flächeninhalte von Figuren ein und verwenden dazu geeignete Lösungsstrategien (z. B. Ein</w:t>
            </w:r>
            <w:r w:rsidR="008D68C4">
              <w:softHyphen/>
            </w:r>
            <w:r>
              <w:t>zeichnen von Hilfslinien).</w:t>
            </w:r>
          </w:p>
        </w:tc>
      </w:tr>
      <w:tr w:rsidR="001620EF" w:rsidRPr="00643785" w:rsidTr="00887B77">
        <w:tc>
          <w:tcPr>
            <w:tcW w:w="14425" w:type="dxa"/>
            <w:gridSpan w:val="2"/>
            <w:shd w:val="clear" w:color="auto" w:fill="FFFF00"/>
          </w:tcPr>
          <w:p w:rsidR="001620EF" w:rsidRPr="00643785" w:rsidRDefault="0016375D" w:rsidP="0016375D">
            <w:pPr>
              <w:pStyle w:val="Listenabsatz"/>
              <w:ind w:left="1134"/>
              <w:rPr>
                <w:rFonts w:ascii="Arial" w:hAnsi="Arial" w:cs="Arial"/>
                <w:sz w:val="28"/>
                <w:szCs w:val="28"/>
              </w:rPr>
            </w:pPr>
            <w:r>
              <w:rPr>
                <w:rFonts w:ascii="Arial" w:hAnsi="Arial" w:cs="Arial"/>
                <w:sz w:val="28"/>
                <w:szCs w:val="28"/>
              </w:rPr>
              <w:t>2</w:t>
            </w:r>
            <w:r w:rsidR="001620EF" w:rsidRPr="00643785">
              <w:rPr>
                <w:rFonts w:ascii="Arial" w:hAnsi="Arial" w:cs="Arial"/>
                <w:sz w:val="28"/>
                <w:szCs w:val="28"/>
              </w:rPr>
              <w:t xml:space="preserve">.2 </w:t>
            </w:r>
            <w:r>
              <w:rPr>
                <w:rFonts w:ascii="Arial" w:hAnsi="Arial" w:cs="Arial"/>
                <w:sz w:val="28"/>
                <w:szCs w:val="28"/>
              </w:rPr>
              <w:t>Volumen</w:t>
            </w:r>
          </w:p>
        </w:tc>
      </w:tr>
      <w:tr w:rsidR="001620EF" w:rsidTr="00887B77">
        <w:tc>
          <w:tcPr>
            <w:tcW w:w="2660" w:type="dxa"/>
            <w:shd w:val="clear" w:color="auto" w:fill="FFFFCC"/>
          </w:tcPr>
          <w:p w:rsidR="001620EF" w:rsidRDefault="001620EF" w:rsidP="00887B77">
            <w:pPr>
              <w:pStyle w:val="Listenabsatz"/>
              <w:ind w:left="357"/>
            </w:pPr>
          </w:p>
        </w:tc>
        <w:tc>
          <w:tcPr>
            <w:tcW w:w="11765" w:type="dxa"/>
            <w:shd w:val="clear" w:color="auto" w:fill="CCCCFF"/>
          </w:tcPr>
          <w:p w:rsidR="001620EF" w:rsidRDefault="001620EF" w:rsidP="00887B77">
            <w:pPr>
              <w:pStyle w:val="Listenabsatz"/>
              <w:ind w:left="0"/>
            </w:pPr>
            <w:r w:rsidRPr="00E415CE">
              <w:rPr>
                <w:rStyle w:val="HTMLZitat"/>
                <w:rFonts w:cs="Times New Roman"/>
                <w:b/>
                <w:i w:val="0"/>
              </w:rPr>
              <w:t>Kompetenzerwartungen</w:t>
            </w:r>
            <w:r>
              <w:rPr>
                <w:rStyle w:val="HTMLZitat"/>
                <w:rFonts w:cs="Times New Roman"/>
                <w:b/>
                <w:i w:val="0"/>
              </w:rPr>
              <w:t xml:space="preserve"> und Inhalte</w:t>
            </w:r>
            <w:r w:rsidRPr="00E415CE">
              <w:rPr>
                <w:rStyle w:val="HTMLZitat"/>
                <w:rFonts w:cs="Times New Roman"/>
                <w:b/>
                <w:i w:val="0"/>
              </w:rPr>
              <w:t xml:space="preserve">: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1620EF" w:rsidTr="00643785">
        <w:tc>
          <w:tcPr>
            <w:tcW w:w="2660" w:type="dxa"/>
            <w:shd w:val="clear" w:color="auto" w:fill="FFFFCC"/>
          </w:tcPr>
          <w:p w:rsidR="001620EF" w:rsidRDefault="001620EF" w:rsidP="00643785">
            <w:pPr>
              <w:pStyle w:val="Listenabsatz"/>
              <w:ind w:left="357"/>
            </w:pPr>
          </w:p>
        </w:tc>
        <w:tc>
          <w:tcPr>
            <w:tcW w:w="11765" w:type="dxa"/>
            <w:shd w:val="clear" w:color="auto" w:fill="CCCCFF"/>
          </w:tcPr>
          <w:p w:rsidR="001620EF" w:rsidRDefault="0016375D" w:rsidP="00F93B33">
            <w:pPr>
              <w:pStyle w:val="Listenabsatz"/>
              <w:numPr>
                <w:ilvl w:val="0"/>
                <w:numId w:val="12"/>
              </w:numPr>
              <w:ind w:left="357" w:hanging="357"/>
            </w:pPr>
            <w:r>
              <w:t>haben eine räumliche Vorstellung von der Größe der Einheitswürfel, die zur Definition der Volumeneinheiten verwendet werden; sie rechnen verschiedene Volumeneinheiten, auch Liter und Milliliter, ineinander um und begründen ihr Vorgehen, z. B. anhand des Auslegens mit Einheitswürfeln.</w:t>
            </w:r>
          </w:p>
          <w:p w:rsidR="0016375D" w:rsidRDefault="0016375D" w:rsidP="00F93B33">
            <w:pPr>
              <w:pStyle w:val="Listenabsatz"/>
              <w:numPr>
                <w:ilvl w:val="0"/>
                <w:numId w:val="12"/>
              </w:numPr>
              <w:ind w:left="357" w:hanging="357"/>
            </w:pPr>
            <w:r>
              <w:t>wenden die Formel zur Bestimmung des Volumens eines Quaders flexibel an.</w:t>
            </w:r>
          </w:p>
          <w:p w:rsidR="0016375D" w:rsidRDefault="0016375D" w:rsidP="00F93B33">
            <w:pPr>
              <w:pStyle w:val="Listenabsatz"/>
              <w:numPr>
                <w:ilvl w:val="0"/>
                <w:numId w:val="12"/>
              </w:numPr>
              <w:ind w:left="357" w:hanging="357"/>
            </w:pPr>
            <w:r>
              <w:t>ermitteln für Körper aus ihrer Erfahrungswelt einen sinnvollen Näherungswert für das Volumen und erläutern ihr Vorgehen.</w:t>
            </w:r>
          </w:p>
        </w:tc>
      </w:tr>
      <w:tr w:rsidR="001620EF" w:rsidRPr="00643785" w:rsidTr="00887B77">
        <w:tc>
          <w:tcPr>
            <w:tcW w:w="14425" w:type="dxa"/>
            <w:gridSpan w:val="2"/>
            <w:shd w:val="clear" w:color="auto" w:fill="FFFF00"/>
          </w:tcPr>
          <w:p w:rsidR="001620EF" w:rsidRPr="00643785" w:rsidRDefault="0016375D" w:rsidP="0016375D">
            <w:pPr>
              <w:pStyle w:val="Listenabsatz"/>
              <w:ind w:left="0"/>
              <w:rPr>
                <w:rFonts w:ascii="Arial" w:hAnsi="Arial" w:cs="Arial"/>
                <w:sz w:val="28"/>
                <w:szCs w:val="28"/>
              </w:rPr>
            </w:pPr>
            <w:r>
              <w:rPr>
                <w:rFonts w:ascii="Arial" w:hAnsi="Arial" w:cs="Arial"/>
                <w:sz w:val="28"/>
                <w:szCs w:val="28"/>
              </w:rPr>
              <w:t>Lernbereich 3: Prozentrechnung, Daten und Diagramme</w:t>
            </w:r>
          </w:p>
        </w:tc>
      </w:tr>
      <w:tr w:rsidR="001620EF" w:rsidTr="00887B77">
        <w:tc>
          <w:tcPr>
            <w:tcW w:w="2660" w:type="dxa"/>
            <w:shd w:val="clear" w:color="auto" w:fill="FFFFCC"/>
          </w:tcPr>
          <w:p w:rsidR="001620EF" w:rsidRDefault="001620EF" w:rsidP="00887B77">
            <w:pPr>
              <w:pStyle w:val="Listenabsatz"/>
              <w:ind w:left="357"/>
            </w:pPr>
          </w:p>
        </w:tc>
        <w:tc>
          <w:tcPr>
            <w:tcW w:w="11765" w:type="dxa"/>
            <w:shd w:val="clear" w:color="auto" w:fill="CCCCFF"/>
          </w:tcPr>
          <w:p w:rsidR="001620EF" w:rsidRDefault="001620EF" w:rsidP="00887B77">
            <w:pPr>
              <w:pStyle w:val="Listenabsatz"/>
              <w:ind w:left="0"/>
            </w:pPr>
            <w:r w:rsidRPr="00E415CE">
              <w:rPr>
                <w:rStyle w:val="HTMLZitat"/>
                <w:rFonts w:cs="Times New Roman"/>
                <w:b/>
                <w:i w:val="0"/>
              </w:rPr>
              <w:t>Kompetenzerwartungen</w:t>
            </w:r>
            <w:r>
              <w:rPr>
                <w:rStyle w:val="HTMLZitat"/>
                <w:rFonts w:cs="Times New Roman"/>
                <w:b/>
                <w:i w:val="0"/>
              </w:rPr>
              <w:t xml:space="preserve"> und Inhalte</w:t>
            </w:r>
            <w:r w:rsidRPr="00E415CE">
              <w:rPr>
                <w:rStyle w:val="HTMLZitat"/>
                <w:rFonts w:cs="Times New Roman"/>
                <w:b/>
                <w:i w:val="0"/>
              </w:rPr>
              <w:t xml:space="preserve">: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1620EF" w:rsidTr="00643785">
        <w:tc>
          <w:tcPr>
            <w:tcW w:w="2660" w:type="dxa"/>
            <w:shd w:val="clear" w:color="auto" w:fill="FFFFCC"/>
          </w:tcPr>
          <w:p w:rsidR="001620EF" w:rsidRDefault="001620EF" w:rsidP="00643785">
            <w:pPr>
              <w:pStyle w:val="Listenabsatz"/>
              <w:ind w:left="357"/>
            </w:pPr>
          </w:p>
        </w:tc>
        <w:tc>
          <w:tcPr>
            <w:tcW w:w="11765" w:type="dxa"/>
            <w:shd w:val="clear" w:color="auto" w:fill="CCCCFF"/>
          </w:tcPr>
          <w:p w:rsidR="001620EF" w:rsidRDefault="0016375D" w:rsidP="00F93B33">
            <w:pPr>
              <w:pStyle w:val="Listenabsatz"/>
              <w:numPr>
                <w:ilvl w:val="0"/>
                <w:numId w:val="12"/>
              </w:numPr>
              <w:ind w:left="357" w:hanging="357"/>
            </w:pPr>
            <w:r>
              <w:t>lösen einfache Prozentaufgaben aus dem Alltag (u. a. zu Rabatt und Zins) mithilfe geeigneter Verfahren (insbesondere Grundgleichung der Prozentrechnung, Schlussrechnung).</w:t>
            </w:r>
          </w:p>
          <w:p w:rsidR="0016375D" w:rsidRDefault="0016375D" w:rsidP="00F93B33">
            <w:pPr>
              <w:pStyle w:val="Listenabsatz"/>
              <w:numPr>
                <w:ilvl w:val="0"/>
                <w:numId w:val="12"/>
              </w:numPr>
              <w:ind w:left="357" w:hanging="357"/>
            </w:pPr>
            <w:r>
              <w:t>entnehmen einfachen Texten (z. B. Zeitungsartikeln), die Prozentangaben enthalten, die wesentlichen mathematischen Informationen und prüfen diese auf Korrektheit (auch: Unterscheidung von „Prozent“ und „Prozentpunkten“); dabei gehen sie flexibel mit in den Medien häufig verwendeten alternativen Darstellungen von Prozentangaben um (z. B. „jeder Siebte“, „drei von fünf“).</w:t>
            </w:r>
          </w:p>
          <w:p w:rsidR="0016375D" w:rsidRDefault="0016375D" w:rsidP="00F93B33">
            <w:pPr>
              <w:pStyle w:val="Listenabsatz"/>
              <w:numPr>
                <w:ilvl w:val="0"/>
                <w:numId w:val="12"/>
              </w:numPr>
              <w:ind w:left="357" w:hanging="357"/>
            </w:pPr>
            <w:r>
              <w:t>bestimmen zu Daten aus statistischen Erhebungen absolute und relative Häufigkeiten und verwenden für letztge</w:t>
            </w:r>
            <w:r w:rsidR="008D68C4">
              <w:softHyphen/>
            </w:r>
            <w:r>
              <w:t>nannte flexibel deren unterschiedliche Darstellungen (v. a. Bruch, Dezimalbruch und Prozentsatz). Sie stellen so aufbereitete Daten u. a. mithilfe eines Tabellenkalkulationsprogramms graphisch strukturiert dar (insbesondere in Form von Kreis- und Säulendiagrammen) und diskutieren Vor- und Nachteile unterschiedlicher Darstellungen.</w:t>
            </w:r>
          </w:p>
          <w:p w:rsidR="0016375D" w:rsidRDefault="0016375D" w:rsidP="00F93B33">
            <w:pPr>
              <w:pStyle w:val="Listenabsatz"/>
              <w:numPr>
                <w:ilvl w:val="0"/>
                <w:numId w:val="12"/>
              </w:numPr>
              <w:ind w:left="357" w:hanging="357"/>
            </w:pPr>
            <w:r>
              <w:t>formulieren bezüglich der Darstellung von Sachverhalten in Diagrammen (z. B. zu Aspekten der Globalisierung und nachhaltigen Entwicklung sowie zu politischen Sachverhalten) sinnvolle Fragen sowie begründete Aussagen; sie erkennen manipulative Aspekte solcher Darstellungen und diskutieren diese altersangemessen.</w:t>
            </w:r>
          </w:p>
          <w:p w:rsidR="0016375D" w:rsidRDefault="0016375D" w:rsidP="00F93B33">
            <w:pPr>
              <w:pStyle w:val="Listenabsatz"/>
              <w:numPr>
                <w:ilvl w:val="0"/>
                <w:numId w:val="12"/>
              </w:numPr>
              <w:ind w:left="357" w:hanging="357"/>
            </w:pPr>
            <w:r>
              <w:t>verwenden im Rahmen der Interpretation von Daten das arithmetische Mittel; in Fällen, in denen Rohdaten vorliegen, bestimmen sie dieses auch mit einem Tabellenkalkulationsprogramm.</w:t>
            </w:r>
          </w:p>
        </w:tc>
      </w:tr>
    </w:tbl>
    <w:p w:rsidR="00B958DA" w:rsidRDefault="00B958DA"/>
    <w:p w:rsidR="0047032B" w:rsidRDefault="0047032B"/>
    <w:p w:rsidR="005F57CD" w:rsidRDefault="005F57CD"/>
    <w:p w:rsidR="005F57CD" w:rsidRDefault="005F57CD"/>
    <w:p w:rsidR="00F93B33" w:rsidRDefault="00F93B33" w:rsidP="00F93B33">
      <w:pPr>
        <w:spacing w:after="120"/>
      </w:pPr>
      <w:r>
        <w:rPr>
          <w:rFonts w:ascii="Arial" w:hAnsi="Arial" w:cs="Arial"/>
          <w:b/>
          <w:sz w:val="28"/>
          <w:szCs w:val="28"/>
        </w:rPr>
        <w:t>7</w:t>
      </w:r>
      <w:r w:rsidRPr="00E415CE">
        <w:rPr>
          <w:rFonts w:ascii="Arial" w:hAnsi="Arial" w:cs="Arial"/>
          <w:b/>
          <w:sz w:val="28"/>
          <w:szCs w:val="28"/>
        </w:rPr>
        <w:t>. Klasse</w:t>
      </w:r>
    </w:p>
    <w:tbl>
      <w:tblPr>
        <w:tblStyle w:val="Tabellenraster"/>
        <w:tblW w:w="14425" w:type="dxa"/>
        <w:tblLook w:val="04A0" w:firstRow="1" w:lastRow="0" w:firstColumn="1" w:lastColumn="0" w:noHBand="0" w:noVBand="1"/>
      </w:tblPr>
      <w:tblGrid>
        <w:gridCol w:w="2660"/>
        <w:gridCol w:w="11765"/>
      </w:tblGrid>
      <w:tr w:rsidR="00F93B33" w:rsidTr="009C0CDA">
        <w:tc>
          <w:tcPr>
            <w:tcW w:w="14425" w:type="dxa"/>
            <w:gridSpan w:val="2"/>
            <w:shd w:val="clear" w:color="auto" w:fill="FFFF00"/>
          </w:tcPr>
          <w:p w:rsidR="00F93B33" w:rsidRDefault="00F93B33" w:rsidP="008D68C4">
            <w:r w:rsidRPr="00E415CE">
              <w:rPr>
                <w:rFonts w:ascii="Arial" w:hAnsi="Arial" w:cs="Arial"/>
                <w:sz w:val="28"/>
                <w:szCs w:val="28"/>
              </w:rPr>
              <w:t xml:space="preserve">Lernbereich </w:t>
            </w:r>
            <w:r w:rsidR="008D68C4">
              <w:rPr>
                <w:rFonts w:ascii="Arial" w:hAnsi="Arial" w:cs="Arial"/>
                <w:sz w:val="28"/>
                <w:szCs w:val="28"/>
              </w:rPr>
              <w:t>1: Terme mit Variablen</w:t>
            </w:r>
          </w:p>
        </w:tc>
      </w:tr>
      <w:tr w:rsidR="0016375D" w:rsidRPr="00643785" w:rsidTr="00887B77">
        <w:tc>
          <w:tcPr>
            <w:tcW w:w="14425" w:type="dxa"/>
            <w:gridSpan w:val="2"/>
            <w:shd w:val="clear" w:color="auto" w:fill="FFFF00"/>
          </w:tcPr>
          <w:p w:rsidR="0016375D" w:rsidRPr="00643785" w:rsidRDefault="008D68C4" w:rsidP="00887B77">
            <w:pPr>
              <w:pStyle w:val="Listenabsatz"/>
              <w:ind w:left="1134"/>
              <w:rPr>
                <w:rFonts w:ascii="Arial" w:hAnsi="Arial" w:cs="Arial"/>
                <w:sz w:val="28"/>
                <w:szCs w:val="28"/>
              </w:rPr>
            </w:pPr>
            <w:r>
              <w:rPr>
                <w:rFonts w:ascii="Arial" w:hAnsi="Arial" w:cs="Arial"/>
                <w:sz w:val="28"/>
                <w:szCs w:val="28"/>
              </w:rPr>
              <w:t>1.1 Aufstellen und Interpretieren von Termen</w:t>
            </w:r>
          </w:p>
        </w:tc>
      </w:tr>
      <w:tr w:rsidR="0016375D" w:rsidTr="00887B77">
        <w:tc>
          <w:tcPr>
            <w:tcW w:w="2660" w:type="dxa"/>
            <w:shd w:val="clear" w:color="auto" w:fill="FFFFCC"/>
          </w:tcPr>
          <w:p w:rsidR="0016375D" w:rsidRDefault="0016375D" w:rsidP="00887B77">
            <w:pPr>
              <w:pStyle w:val="Listenabsatz"/>
              <w:ind w:left="357"/>
            </w:pPr>
          </w:p>
        </w:tc>
        <w:tc>
          <w:tcPr>
            <w:tcW w:w="11765" w:type="dxa"/>
            <w:shd w:val="clear" w:color="auto" w:fill="CCCCFF"/>
          </w:tcPr>
          <w:p w:rsidR="0016375D" w:rsidRDefault="0016375D" w:rsidP="00887B77">
            <w:pPr>
              <w:pStyle w:val="Listenabsatz"/>
              <w:ind w:left="0"/>
            </w:pPr>
            <w:r w:rsidRPr="00E415CE">
              <w:rPr>
                <w:rStyle w:val="HTMLZitat"/>
                <w:rFonts w:cs="Times New Roman"/>
                <w:b/>
                <w:i w:val="0"/>
              </w:rPr>
              <w:t>Kompetenzerwartungen</w:t>
            </w:r>
            <w:r>
              <w:rPr>
                <w:rStyle w:val="HTMLZitat"/>
                <w:rFonts w:cs="Times New Roman"/>
                <w:b/>
                <w:i w:val="0"/>
              </w:rPr>
              <w:t xml:space="preserve"> und Inhalte</w:t>
            </w:r>
            <w:r w:rsidRPr="00E415CE">
              <w:rPr>
                <w:rStyle w:val="HTMLZitat"/>
                <w:rFonts w:cs="Times New Roman"/>
                <w:b/>
                <w:i w:val="0"/>
              </w:rPr>
              <w:t xml:space="preserve">: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16375D" w:rsidTr="00887B77">
        <w:tc>
          <w:tcPr>
            <w:tcW w:w="2660" w:type="dxa"/>
            <w:shd w:val="clear" w:color="auto" w:fill="FFFFCC"/>
          </w:tcPr>
          <w:p w:rsidR="0016375D" w:rsidRDefault="0016375D" w:rsidP="00887B77">
            <w:pPr>
              <w:pStyle w:val="Listenabsatz"/>
              <w:ind w:left="357"/>
            </w:pPr>
          </w:p>
        </w:tc>
        <w:tc>
          <w:tcPr>
            <w:tcW w:w="11765" w:type="dxa"/>
            <w:shd w:val="clear" w:color="auto" w:fill="CCCCFF"/>
          </w:tcPr>
          <w:p w:rsidR="0016375D" w:rsidRDefault="008D68C4" w:rsidP="00887B77">
            <w:pPr>
              <w:pStyle w:val="Listenabsatz"/>
              <w:numPr>
                <w:ilvl w:val="0"/>
                <w:numId w:val="12"/>
              </w:numPr>
              <w:ind w:left="357" w:hanging="357"/>
            </w:pPr>
            <w:r>
              <w:t xml:space="preserve">berechnen Werte von Termen, die auch Potenzen mit ganzzahligen Exponenten enthalten; dabei greifen sie auf die </w:t>
            </w:r>
            <w:r>
              <w:lastRenderedPageBreak/>
              <w:t>aus den vorhergehenden Jahrgangsstufen bekannten Rechenregeln für rationale Zahlen zurück und nutzen Wertetabellen zur Strukturierung und Veranschaulichung.</w:t>
            </w:r>
          </w:p>
        </w:tc>
      </w:tr>
      <w:tr w:rsidR="008D68C4" w:rsidRPr="00643785" w:rsidTr="00887B77">
        <w:tc>
          <w:tcPr>
            <w:tcW w:w="14425" w:type="dxa"/>
            <w:gridSpan w:val="2"/>
            <w:shd w:val="clear" w:color="auto" w:fill="FFFF00"/>
          </w:tcPr>
          <w:p w:rsidR="008D68C4" w:rsidRPr="00643785" w:rsidRDefault="008D68C4" w:rsidP="008D68C4">
            <w:pPr>
              <w:pStyle w:val="Listenabsatz"/>
              <w:ind w:left="1134"/>
              <w:rPr>
                <w:rFonts w:ascii="Arial" w:hAnsi="Arial" w:cs="Arial"/>
                <w:sz w:val="28"/>
                <w:szCs w:val="28"/>
              </w:rPr>
            </w:pPr>
            <w:r w:rsidRPr="00643785">
              <w:rPr>
                <w:rFonts w:ascii="Arial" w:hAnsi="Arial" w:cs="Arial"/>
                <w:sz w:val="28"/>
                <w:szCs w:val="28"/>
              </w:rPr>
              <w:lastRenderedPageBreak/>
              <w:t xml:space="preserve">1.2 </w:t>
            </w:r>
            <w:r>
              <w:rPr>
                <w:rFonts w:ascii="Arial" w:hAnsi="Arial" w:cs="Arial"/>
                <w:sz w:val="28"/>
                <w:szCs w:val="28"/>
              </w:rPr>
              <w:t>Umformen von Termen</w:t>
            </w:r>
          </w:p>
        </w:tc>
      </w:tr>
      <w:tr w:rsidR="008D68C4" w:rsidTr="00887B77">
        <w:tc>
          <w:tcPr>
            <w:tcW w:w="2660" w:type="dxa"/>
            <w:shd w:val="clear" w:color="auto" w:fill="FFFFCC"/>
          </w:tcPr>
          <w:p w:rsidR="008D68C4" w:rsidRDefault="008D68C4" w:rsidP="00887B77">
            <w:pPr>
              <w:pStyle w:val="Listenabsatz"/>
              <w:ind w:left="357"/>
            </w:pPr>
          </w:p>
        </w:tc>
        <w:tc>
          <w:tcPr>
            <w:tcW w:w="11765" w:type="dxa"/>
            <w:shd w:val="clear" w:color="auto" w:fill="CCCCFF"/>
          </w:tcPr>
          <w:p w:rsidR="008D68C4" w:rsidRDefault="008D68C4" w:rsidP="00887B77">
            <w:pPr>
              <w:pStyle w:val="Listenabsatz"/>
              <w:ind w:left="0"/>
            </w:pPr>
            <w:r w:rsidRPr="00E415CE">
              <w:rPr>
                <w:rStyle w:val="HTMLZitat"/>
                <w:rFonts w:cs="Times New Roman"/>
                <w:b/>
                <w:i w:val="0"/>
              </w:rPr>
              <w:t>Kompetenzerwartungen</w:t>
            </w:r>
            <w:r>
              <w:rPr>
                <w:rStyle w:val="HTMLZitat"/>
                <w:rFonts w:cs="Times New Roman"/>
                <w:b/>
                <w:i w:val="0"/>
              </w:rPr>
              <w:t xml:space="preserve"> und Inhalte</w:t>
            </w:r>
            <w:r w:rsidRPr="00E415CE">
              <w:rPr>
                <w:rStyle w:val="HTMLZitat"/>
                <w:rFonts w:cs="Times New Roman"/>
                <w:b/>
                <w:i w:val="0"/>
              </w:rPr>
              <w:t xml:space="preserve">: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8D68C4" w:rsidTr="00887B77">
        <w:tc>
          <w:tcPr>
            <w:tcW w:w="2660" w:type="dxa"/>
            <w:shd w:val="clear" w:color="auto" w:fill="FFFFCC"/>
          </w:tcPr>
          <w:p w:rsidR="008D68C4" w:rsidRDefault="008D68C4" w:rsidP="00887B77">
            <w:pPr>
              <w:pStyle w:val="Listenabsatz"/>
              <w:ind w:left="357"/>
            </w:pPr>
          </w:p>
        </w:tc>
        <w:tc>
          <w:tcPr>
            <w:tcW w:w="11765" w:type="dxa"/>
            <w:shd w:val="clear" w:color="auto" w:fill="CCCCFF"/>
          </w:tcPr>
          <w:p w:rsidR="008D68C4" w:rsidRDefault="008D68C4" w:rsidP="00887B77">
            <w:pPr>
              <w:pStyle w:val="Listenabsatz"/>
              <w:numPr>
                <w:ilvl w:val="0"/>
                <w:numId w:val="12"/>
              </w:numPr>
              <w:ind w:left="357" w:hanging="357"/>
            </w:pPr>
            <w:r>
              <w:t>fassen Produkte von Potenzen mit natürlichen Exponenten (bei gleicher Basis oder bei gleichem Exponenten) und Potenzen von Potenzen mit jeweils natürlichem Exponenten zu einer Potenz zusammen.</w:t>
            </w:r>
          </w:p>
          <w:p w:rsidR="008D68C4" w:rsidRDefault="008D68C4" w:rsidP="00887B77">
            <w:pPr>
              <w:pStyle w:val="Listenabsatz"/>
              <w:numPr>
                <w:ilvl w:val="0"/>
                <w:numId w:val="12"/>
              </w:numPr>
              <w:ind w:left="357" w:hanging="357"/>
            </w:pPr>
            <w:r>
              <w:t>nutzen das Distributivgesetz in einfachen Fällen auch zum Faktorisieren von Summen und sind sich bewusst, dass durch Ausklammern eines gemeinsamen Faktors aus einer Summe ein Produkt entsteht.</w:t>
            </w:r>
          </w:p>
        </w:tc>
      </w:tr>
      <w:tr w:rsidR="008D68C4" w:rsidTr="00887B77">
        <w:tc>
          <w:tcPr>
            <w:tcW w:w="14425" w:type="dxa"/>
            <w:gridSpan w:val="2"/>
            <w:shd w:val="clear" w:color="auto" w:fill="FFFF00"/>
          </w:tcPr>
          <w:p w:rsidR="008D68C4" w:rsidRDefault="008D68C4" w:rsidP="008D68C4">
            <w:r w:rsidRPr="00E415CE">
              <w:rPr>
                <w:rFonts w:ascii="Arial" w:hAnsi="Arial" w:cs="Arial"/>
                <w:sz w:val="28"/>
                <w:szCs w:val="28"/>
              </w:rPr>
              <w:t xml:space="preserve">Lernbereich </w:t>
            </w:r>
            <w:r>
              <w:rPr>
                <w:rFonts w:ascii="Arial" w:hAnsi="Arial" w:cs="Arial"/>
                <w:sz w:val="28"/>
                <w:szCs w:val="28"/>
              </w:rPr>
              <w:t>2: Geometrische Figuren: Symmetrie und Winkel</w:t>
            </w:r>
          </w:p>
        </w:tc>
      </w:tr>
      <w:tr w:rsidR="008D68C4" w:rsidRPr="00643785" w:rsidTr="00887B77">
        <w:tc>
          <w:tcPr>
            <w:tcW w:w="14425" w:type="dxa"/>
            <w:gridSpan w:val="2"/>
            <w:shd w:val="clear" w:color="auto" w:fill="FFFF00"/>
          </w:tcPr>
          <w:p w:rsidR="008D68C4" w:rsidRPr="00643785" w:rsidRDefault="008D68C4" w:rsidP="008D68C4">
            <w:pPr>
              <w:pStyle w:val="Listenabsatz"/>
              <w:ind w:left="1134"/>
              <w:rPr>
                <w:rFonts w:ascii="Arial" w:hAnsi="Arial" w:cs="Arial"/>
                <w:sz w:val="28"/>
                <w:szCs w:val="28"/>
              </w:rPr>
            </w:pPr>
            <w:r w:rsidRPr="00643785">
              <w:rPr>
                <w:rFonts w:ascii="Arial" w:hAnsi="Arial" w:cs="Arial"/>
                <w:sz w:val="28"/>
                <w:szCs w:val="28"/>
              </w:rPr>
              <w:t>2</w:t>
            </w:r>
            <w:r>
              <w:rPr>
                <w:rFonts w:ascii="Arial" w:hAnsi="Arial" w:cs="Arial"/>
                <w:sz w:val="28"/>
                <w:szCs w:val="28"/>
              </w:rPr>
              <w:t>.1</w:t>
            </w:r>
            <w:r w:rsidRPr="00643785">
              <w:rPr>
                <w:rFonts w:ascii="Arial" w:hAnsi="Arial" w:cs="Arial"/>
                <w:sz w:val="28"/>
                <w:szCs w:val="28"/>
              </w:rPr>
              <w:t xml:space="preserve"> </w:t>
            </w:r>
            <w:r>
              <w:rPr>
                <w:rFonts w:ascii="Arial" w:hAnsi="Arial" w:cs="Arial"/>
                <w:sz w:val="28"/>
                <w:szCs w:val="28"/>
              </w:rPr>
              <w:t>Achsen- und punktsymmetrische Figuren</w:t>
            </w:r>
          </w:p>
        </w:tc>
      </w:tr>
      <w:tr w:rsidR="008D68C4" w:rsidTr="00887B77">
        <w:tc>
          <w:tcPr>
            <w:tcW w:w="2660" w:type="dxa"/>
            <w:shd w:val="clear" w:color="auto" w:fill="FFFFCC"/>
          </w:tcPr>
          <w:p w:rsidR="008D68C4" w:rsidRDefault="008D68C4" w:rsidP="00887B77">
            <w:pPr>
              <w:pStyle w:val="Listenabsatz"/>
              <w:ind w:left="357"/>
            </w:pPr>
          </w:p>
        </w:tc>
        <w:tc>
          <w:tcPr>
            <w:tcW w:w="11765" w:type="dxa"/>
            <w:shd w:val="clear" w:color="auto" w:fill="CCCCFF"/>
          </w:tcPr>
          <w:p w:rsidR="008D68C4" w:rsidRDefault="008D68C4" w:rsidP="00887B77">
            <w:pPr>
              <w:pStyle w:val="Listenabsatz"/>
              <w:ind w:left="0"/>
            </w:pPr>
            <w:r w:rsidRPr="00E415CE">
              <w:rPr>
                <w:rStyle w:val="HTMLZitat"/>
                <w:rFonts w:cs="Times New Roman"/>
                <w:b/>
                <w:i w:val="0"/>
              </w:rPr>
              <w:t>Kompetenzerwartungen</w:t>
            </w:r>
            <w:r>
              <w:rPr>
                <w:rStyle w:val="HTMLZitat"/>
                <w:rFonts w:cs="Times New Roman"/>
                <w:b/>
                <w:i w:val="0"/>
              </w:rPr>
              <w:t xml:space="preserve"> und Inhalte</w:t>
            </w:r>
            <w:r w:rsidRPr="00E415CE">
              <w:rPr>
                <w:rStyle w:val="HTMLZitat"/>
                <w:rFonts w:cs="Times New Roman"/>
                <w:b/>
                <w:i w:val="0"/>
              </w:rPr>
              <w:t xml:space="preserve">: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8D68C4" w:rsidTr="00887B77">
        <w:tc>
          <w:tcPr>
            <w:tcW w:w="2660" w:type="dxa"/>
            <w:shd w:val="clear" w:color="auto" w:fill="FFFFCC"/>
          </w:tcPr>
          <w:p w:rsidR="008D68C4" w:rsidRDefault="008D68C4" w:rsidP="00887B77">
            <w:pPr>
              <w:pStyle w:val="Listenabsatz"/>
              <w:ind w:left="357"/>
            </w:pPr>
          </w:p>
        </w:tc>
        <w:tc>
          <w:tcPr>
            <w:tcW w:w="11765" w:type="dxa"/>
            <w:shd w:val="clear" w:color="auto" w:fill="CCCCFF"/>
          </w:tcPr>
          <w:p w:rsidR="008D68C4" w:rsidRDefault="00784E8B" w:rsidP="00887B77">
            <w:pPr>
              <w:pStyle w:val="Listenabsatz"/>
              <w:numPr>
                <w:ilvl w:val="0"/>
                <w:numId w:val="12"/>
              </w:numPr>
              <w:ind w:left="357" w:hanging="357"/>
            </w:pPr>
            <w:r>
              <w:t xml:space="preserve">konstruieren </w:t>
            </w:r>
            <w:r w:rsidRPr="00644556">
              <w:rPr>
                <w:u w:val="single"/>
              </w:rPr>
              <w:t>achsen- und punktsymmetrische Figuren</w:t>
            </w:r>
            <w:r>
              <w:t xml:space="preserve"> mit Zirkel und Lineal im Bewusstsein der mathematischen und kulturhistorischen Bedeutung dieses Prinzips des Konstruierens und verwenden die Eigenschaften zueinander symmetrischer Punkte, um die grundlegenden Konstruktionen von Symmetrieachse, Symmetriezentrum und Spiegelpunkt zu begründen.</w:t>
            </w:r>
          </w:p>
          <w:p w:rsidR="00784E8B" w:rsidRDefault="00784E8B" w:rsidP="00887B77">
            <w:pPr>
              <w:pStyle w:val="Listenabsatz"/>
              <w:numPr>
                <w:ilvl w:val="0"/>
                <w:numId w:val="12"/>
              </w:numPr>
              <w:ind w:left="357" w:hanging="357"/>
            </w:pPr>
            <w:r>
              <w:t xml:space="preserve">... erkennen </w:t>
            </w:r>
            <w:r w:rsidRPr="00644556">
              <w:rPr>
                <w:u w:val="single"/>
              </w:rPr>
              <w:t>Symmetrie</w:t>
            </w:r>
            <w:r>
              <w:t xml:space="preserve"> als wesentliches </w:t>
            </w:r>
            <w:r w:rsidRPr="00644556">
              <w:rPr>
                <w:u w:val="single"/>
              </w:rPr>
              <w:t>Gestaltungsprinzip in Natur</w:t>
            </w:r>
            <w:r>
              <w:t>, Kunst und Design.</w:t>
            </w:r>
          </w:p>
        </w:tc>
      </w:tr>
      <w:tr w:rsidR="008D68C4" w:rsidRPr="00643785" w:rsidTr="00887B77">
        <w:tc>
          <w:tcPr>
            <w:tcW w:w="14425" w:type="dxa"/>
            <w:gridSpan w:val="2"/>
            <w:shd w:val="clear" w:color="auto" w:fill="FFFF00"/>
          </w:tcPr>
          <w:p w:rsidR="008D68C4" w:rsidRPr="00643785" w:rsidRDefault="00784E8B" w:rsidP="00784E8B">
            <w:pPr>
              <w:pStyle w:val="Listenabsatz"/>
              <w:ind w:left="0"/>
              <w:rPr>
                <w:rFonts w:ascii="Arial" w:hAnsi="Arial" w:cs="Arial"/>
                <w:sz w:val="28"/>
                <w:szCs w:val="28"/>
              </w:rPr>
            </w:pPr>
            <w:r>
              <w:rPr>
                <w:rFonts w:ascii="Arial" w:hAnsi="Arial" w:cs="Arial"/>
                <w:sz w:val="28"/>
                <w:szCs w:val="28"/>
              </w:rPr>
              <w:t>Lernbereich 4: Laplace-Experimente</w:t>
            </w:r>
          </w:p>
        </w:tc>
      </w:tr>
      <w:tr w:rsidR="008D68C4" w:rsidTr="00887B77">
        <w:tc>
          <w:tcPr>
            <w:tcW w:w="2660" w:type="dxa"/>
            <w:shd w:val="clear" w:color="auto" w:fill="FFFFCC"/>
          </w:tcPr>
          <w:p w:rsidR="008D68C4" w:rsidRDefault="008D68C4" w:rsidP="00887B77">
            <w:pPr>
              <w:pStyle w:val="Listenabsatz"/>
              <w:ind w:left="357"/>
            </w:pPr>
          </w:p>
        </w:tc>
        <w:tc>
          <w:tcPr>
            <w:tcW w:w="11765" w:type="dxa"/>
            <w:shd w:val="clear" w:color="auto" w:fill="CCCCFF"/>
          </w:tcPr>
          <w:p w:rsidR="008D68C4" w:rsidRDefault="008D68C4" w:rsidP="00887B77">
            <w:pPr>
              <w:pStyle w:val="Listenabsatz"/>
              <w:ind w:left="0"/>
            </w:pPr>
            <w:r w:rsidRPr="00E415CE">
              <w:rPr>
                <w:rStyle w:val="HTMLZitat"/>
                <w:rFonts w:cs="Times New Roman"/>
                <w:b/>
                <w:i w:val="0"/>
              </w:rPr>
              <w:t>Kompetenzerwartungen</w:t>
            </w:r>
            <w:r>
              <w:rPr>
                <w:rStyle w:val="HTMLZitat"/>
                <w:rFonts w:cs="Times New Roman"/>
                <w:b/>
                <w:i w:val="0"/>
              </w:rPr>
              <w:t xml:space="preserve"> und Inhalte</w:t>
            </w:r>
            <w:r w:rsidRPr="00E415CE">
              <w:rPr>
                <w:rStyle w:val="HTMLZitat"/>
                <w:rFonts w:cs="Times New Roman"/>
                <w:b/>
                <w:i w:val="0"/>
              </w:rPr>
              <w:t xml:space="preserve">: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8D68C4" w:rsidTr="00887B77">
        <w:tc>
          <w:tcPr>
            <w:tcW w:w="2660" w:type="dxa"/>
            <w:shd w:val="clear" w:color="auto" w:fill="FFFFCC"/>
          </w:tcPr>
          <w:p w:rsidR="008D68C4" w:rsidRDefault="008D68C4" w:rsidP="00887B77">
            <w:pPr>
              <w:pStyle w:val="Listenabsatz"/>
              <w:ind w:left="357"/>
            </w:pPr>
          </w:p>
        </w:tc>
        <w:tc>
          <w:tcPr>
            <w:tcW w:w="11765" w:type="dxa"/>
            <w:shd w:val="clear" w:color="auto" w:fill="CCCCFF"/>
          </w:tcPr>
          <w:p w:rsidR="008D68C4" w:rsidRDefault="00784E8B" w:rsidP="00887B77">
            <w:pPr>
              <w:pStyle w:val="Listenabsatz"/>
              <w:numPr>
                <w:ilvl w:val="0"/>
                <w:numId w:val="12"/>
              </w:numPr>
              <w:ind w:left="357" w:hanging="357"/>
            </w:pPr>
            <w:r>
              <w:t xml:space="preserve">beschreiben </w:t>
            </w:r>
            <w:r w:rsidRPr="00644556">
              <w:rPr>
                <w:u w:val="single"/>
              </w:rPr>
              <w:t>Zufallsexperimente</w:t>
            </w:r>
            <w:r>
              <w:t xml:space="preserve"> unter Verwendung von Fachbegriffen wie Ergebnis, Ergebnismenge, Ereignis und Gegenereignis.</w:t>
            </w:r>
          </w:p>
          <w:p w:rsidR="00784E8B" w:rsidRDefault="00784E8B" w:rsidP="00887B77">
            <w:pPr>
              <w:pStyle w:val="Listenabsatz"/>
              <w:numPr>
                <w:ilvl w:val="0"/>
                <w:numId w:val="12"/>
              </w:numPr>
              <w:ind w:left="357" w:hanging="357"/>
            </w:pPr>
            <w:r>
              <w:t>grenzen anhand von Beispielen Laplace-Experimente von Zufallsexperimenten ab, die sich nicht mithilfe der Annahme der Gleichwahrscheinlichkeit aller Elementarereignisse tragfähig modellieren lassen.</w:t>
            </w:r>
          </w:p>
          <w:p w:rsidR="00784E8B" w:rsidRDefault="00784E8B" w:rsidP="00887B77">
            <w:pPr>
              <w:pStyle w:val="Listenabsatz"/>
              <w:numPr>
                <w:ilvl w:val="0"/>
                <w:numId w:val="12"/>
              </w:numPr>
              <w:ind w:left="357" w:hanging="357"/>
            </w:pPr>
            <w:r>
              <w:t>berechnen Laplace-</w:t>
            </w:r>
            <w:r w:rsidRPr="00644556">
              <w:rPr>
                <w:u w:val="single"/>
              </w:rPr>
              <w:t>Wahrscheinlichkeiten</w:t>
            </w:r>
            <w:r>
              <w:t xml:space="preserve"> und nutzen dabei auch das Zählprinzip und Baumdiagramme.</w:t>
            </w:r>
          </w:p>
        </w:tc>
      </w:tr>
    </w:tbl>
    <w:p w:rsidR="00ED2E0A" w:rsidRDefault="00ED2E0A" w:rsidP="00ED2E0A"/>
    <w:sectPr w:rsidR="00ED2E0A" w:rsidSect="00D44153">
      <w:type w:val="continuous"/>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51419"/>
    <w:multiLevelType w:val="hybridMultilevel"/>
    <w:tmpl w:val="95068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405285"/>
    <w:multiLevelType w:val="hybridMultilevel"/>
    <w:tmpl w:val="E132F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98420B"/>
    <w:multiLevelType w:val="hybridMultilevel"/>
    <w:tmpl w:val="E9F29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3564CB"/>
    <w:multiLevelType w:val="hybridMultilevel"/>
    <w:tmpl w:val="24A07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03000D"/>
    <w:multiLevelType w:val="hybridMultilevel"/>
    <w:tmpl w:val="53D46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1"/>
  </w:num>
  <w:num w:numId="4">
    <w:abstractNumId w:val="10"/>
  </w:num>
  <w:num w:numId="5">
    <w:abstractNumId w:val="5"/>
  </w:num>
  <w:num w:numId="6">
    <w:abstractNumId w:val="4"/>
  </w:num>
  <w:num w:numId="7">
    <w:abstractNumId w:val="7"/>
  </w:num>
  <w:num w:numId="8">
    <w:abstractNumId w:val="1"/>
  </w:num>
  <w:num w:numId="9">
    <w:abstractNumId w:val="2"/>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5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6D77"/>
    <w:rsid w:val="000270C3"/>
    <w:rsid w:val="00033495"/>
    <w:rsid w:val="000C76E9"/>
    <w:rsid w:val="00100386"/>
    <w:rsid w:val="00103DBD"/>
    <w:rsid w:val="001620EF"/>
    <w:rsid w:val="0016375D"/>
    <w:rsid w:val="00167F0F"/>
    <w:rsid w:val="001E1DE7"/>
    <w:rsid w:val="00212456"/>
    <w:rsid w:val="002216C9"/>
    <w:rsid w:val="00223325"/>
    <w:rsid w:val="00243F84"/>
    <w:rsid w:val="00244F79"/>
    <w:rsid w:val="00277DDA"/>
    <w:rsid w:val="002B1D1E"/>
    <w:rsid w:val="002E1106"/>
    <w:rsid w:val="00300A95"/>
    <w:rsid w:val="00367AD2"/>
    <w:rsid w:val="00376C3E"/>
    <w:rsid w:val="00390FDE"/>
    <w:rsid w:val="003A3F6B"/>
    <w:rsid w:val="003B0323"/>
    <w:rsid w:val="003D5942"/>
    <w:rsid w:val="0047032B"/>
    <w:rsid w:val="004A676A"/>
    <w:rsid w:val="004A6903"/>
    <w:rsid w:val="004D5465"/>
    <w:rsid w:val="004E3333"/>
    <w:rsid w:val="00505F54"/>
    <w:rsid w:val="00513DF7"/>
    <w:rsid w:val="0059377F"/>
    <w:rsid w:val="005A4AB0"/>
    <w:rsid w:val="005B31F7"/>
    <w:rsid w:val="005C006F"/>
    <w:rsid w:val="005C3ECE"/>
    <w:rsid w:val="005E52EB"/>
    <w:rsid w:val="005F1773"/>
    <w:rsid w:val="005F57CD"/>
    <w:rsid w:val="00601570"/>
    <w:rsid w:val="00602A3D"/>
    <w:rsid w:val="00621F0E"/>
    <w:rsid w:val="00636AB8"/>
    <w:rsid w:val="0064322A"/>
    <w:rsid w:val="00643785"/>
    <w:rsid w:val="00644556"/>
    <w:rsid w:val="006523DC"/>
    <w:rsid w:val="00671C28"/>
    <w:rsid w:val="006B6219"/>
    <w:rsid w:val="00700F9E"/>
    <w:rsid w:val="00730A92"/>
    <w:rsid w:val="00754C08"/>
    <w:rsid w:val="00762E5A"/>
    <w:rsid w:val="00784E8B"/>
    <w:rsid w:val="0078783B"/>
    <w:rsid w:val="007A2E89"/>
    <w:rsid w:val="007A4D06"/>
    <w:rsid w:val="007B035D"/>
    <w:rsid w:val="007B10D9"/>
    <w:rsid w:val="007C30FC"/>
    <w:rsid w:val="007C5FDA"/>
    <w:rsid w:val="007D2269"/>
    <w:rsid w:val="007F7A1B"/>
    <w:rsid w:val="00804B26"/>
    <w:rsid w:val="00814117"/>
    <w:rsid w:val="008236CB"/>
    <w:rsid w:val="008248AD"/>
    <w:rsid w:val="008A167A"/>
    <w:rsid w:val="008B66F2"/>
    <w:rsid w:val="008C58AE"/>
    <w:rsid w:val="008D68C4"/>
    <w:rsid w:val="008F711D"/>
    <w:rsid w:val="00901AB5"/>
    <w:rsid w:val="009138A5"/>
    <w:rsid w:val="0091776A"/>
    <w:rsid w:val="0092143D"/>
    <w:rsid w:val="00925B4F"/>
    <w:rsid w:val="009520A8"/>
    <w:rsid w:val="00956124"/>
    <w:rsid w:val="00964951"/>
    <w:rsid w:val="0096772B"/>
    <w:rsid w:val="009B10E5"/>
    <w:rsid w:val="009D0045"/>
    <w:rsid w:val="009D6888"/>
    <w:rsid w:val="009F3A3F"/>
    <w:rsid w:val="009F541B"/>
    <w:rsid w:val="00A001F7"/>
    <w:rsid w:val="00A073E6"/>
    <w:rsid w:val="00A10C08"/>
    <w:rsid w:val="00A35293"/>
    <w:rsid w:val="00A82F9C"/>
    <w:rsid w:val="00A96C40"/>
    <w:rsid w:val="00AB35F1"/>
    <w:rsid w:val="00AB38F4"/>
    <w:rsid w:val="00AD596B"/>
    <w:rsid w:val="00B127BA"/>
    <w:rsid w:val="00B22205"/>
    <w:rsid w:val="00B53352"/>
    <w:rsid w:val="00B647E5"/>
    <w:rsid w:val="00B77DF4"/>
    <w:rsid w:val="00B826AC"/>
    <w:rsid w:val="00B958DA"/>
    <w:rsid w:val="00BC0AC0"/>
    <w:rsid w:val="00BC4F36"/>
    <w:rsid w:val="00BE3D26"/>
    <w:rsid w:val="00BF1A8A"/>
    <w:rsid w:val="00BF3CAD"/>
    <w:rsid w:val="00C15492"/>
    <w:rsid w:val="00C31C17"/>
    <w:rsid w:val="00C7536C"/>
    <w:rsid w:val="00C94E41"/>
    <w:rsid w:val="00C973BD"/>
    <w:rsid w:val="00CA0C27"/>
    <w:rsid w:val="00CA3363"/>
    <w:rsid w:val="00CA6ED5"/>
    <w:rsid w:val="00CB45A4"/>
    <w:rsid w:val="00CC7661"/>
    <w:rsid w:val="00CF41AB"/>
    <w:rsid w:val="00D030C1"/>
    <w:rsid w:val="00D44153"/>
    <w:rsid w:val="00D71C3A"/>
    <w:rsid w:val="00D84797"/>
    <w:rsid w:val="00D93941"/>
    <w:rsid w:val="00D97332"/>
    <w:rsid w:val="00DC5B5A"/>
    <w:rsid w:val="00DC7C63"/>
    <w:rsid w:val="00DD5FF7"/>
    <w:rsid w:val="00DE7090"/>
    <w:rsid w:val="00E00083"/>
    <w:rsid w:val="00E10B24"/>
    <w:rsid w:val="00E413A4"/>
    <w:rsid w:val="00E415CE"/>
    <w:rsid w:val="00E4206C"/>
    <w:rsid w:val="00E5248A"/>
    <w:rsid w:val="00E54C56"/>
    <w:rsid w:val="00E5501C"/>
    <w:rsid w:val="00E84855"/>
    <w:rsid w:val="00EB1B90"/>
    <w:rsid w:val="00ED2E0A"/>
    <w:rsid w:val="00EE6070"/>
    <w:rsid w:val="00EF1E7E"/>
    <w:rsid w:val="00F21F7C"/>
    <w:rsid w:val="00F27E39"/>
    <w:rsid w:val="00F45F18"/>
    <w:rsid w:val="00F640BC"/>
    <w:rsid w:val="00F67A75"/>
    <w:rsid w:val="00F93B33"/>
    <w:rsid w:val="00FA3794"/>
    <w:rsid w:val="00FA6262"/>
    <w:rsid w:val="00FB2BB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character" w:styleId="HTMLZitat">
    <w:name w:val="HTML Cite"/>
    <w:basedOn w:val="Absatz-Standardschriftart"/>
    <w:uiPriority w:val="99"/>
    <w:semiHidden/>
    <w:unhideWhenUsed/>
    <w:rsid w:val="00E415CE"/>
    <w:rPr>
      <w:i/>
      <w:iCs/>
    </w:rPr>
  </w:style>
  <w:style w:type="paragraph" w:styleId="Listenabsatz">
    <w:name w:val="List Paragraph"/>
    <w:basedOn w:val="Standard"/>
    <w:uiPriority w:val="34"/>
    <w:qFormat/>
    <w:rsid w:val="004E33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character" w:styleId="HTMLZitat">
    <w:name w:val="HTML Cite"/>
    <w:basedOn w:val="Absatz-Standardschriftart"/>
    <w:uiPriority w:val="99"/>
    <w:semiHidden/>
    <w:unhideWhenUsed/>
    <w:rsid w:val="00E415CE"/>
    <w:rPr>
      <w:i/>
      <w:iCs/>
    </w:rPr>
  </w:style>
  <w:style w:type="paragraph" w:styleId="Listenabsatz">
    <w:name w:val="List Paragraph"/>
    <w:basedOn w:val="Standard"/>
    <w:uiPriority w:val="34"/>
    <w:qFormat/>
    <w:rsid w:val="004E3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197014069">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47700995">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068265173">
      <w:bodyDiv w:val="1"/>
      <w:marLeft w:val="0"/>
      <w:marRight w:val="0"/>
      <w:marTop w:val="0"/>
      <w:marBottom w:val="0"/>
      <w:divBdr>
        <w:top w:val="none" w:sz="0" w:space="0" w:color="auto"/>
        <w:left w:val="none" w:sz="0" w:space="0" w:color="auto"/>
        <w:bottom w:val="none" w:sz="0" w:space="0" w:color="auto"/>
        <w:right w:val="none" w:sz="0" w:space="0" w:color="auto"/>
      </w:divBdr>
    </w:div>
    <w:div w:id="1563636409">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1528</Words>
  <Characters>9629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12</cp:revision>
  <cp:lastPrinted>2018-05-29T15:36:00Z</cp:lastPrinted>
  <dcterms:created xsi:type="dcterms:W3CDTF">2018-05-29T07:40:00Z</dcterms:created>
  <dcterms:modified xsi:type="dcterms:W3CDTF">2018-05-29T15:37:00Z</dcterms:modified>
</cp:coreProperties>
</file>