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2E8B0" w14:textId="62D1184A" w:rsidR="00C81FBB" w:rsidRDefault="00EC74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Begriffe</w:t>
      </w:r>
      <w:r w:rsidR="00001463">
        <w:rPr>
          <w:b/>
          <w:sz w:val="32"/>
          <w:szCs w:val="32"/>
        </w:rPr>
        <w:t xml:space="preserve"> </w:t>
      </w:r>
      <w:r w:rsidR="00960B37">
        <w:rPr>
          <w:b/>
          <w:sz w:val="32"/>
          <w:szCs w:val="32"/>
        </w:rPr>
        <w:t xml:space="preserve">und Methode </w:t>
      </w:r>
      <w:r w:rsidR="00001463">
        <w:rPr>
          <w:b/>
          <w:sz w:val="32"/>
          <w:szCs w:val="32"/>
        </w:rPr>
        <w:t>der klassischen Mendel-Genetik</w:t>
      </w:r>
    </w:p>
    <w:p w14:paraId="19959364" w14:textId="77777777" w:rsidR="00C81FBB" w:rsidRDefault="00C81FBB">
      <w:pPr>
        <w:jc w:val="both"/>
      </w:pPr>
    </w:p>
    <w:p w14:paraId="1A4419A7" w14:textId="5AC9380F" w:rsidR="00C81FBB" w:rsidRDefault="00EC7413">
      <w:pPr>
        <w:jc w:val="both"/>
      </w:pPr>
      <w:r>
        <w:t xml:space="preserve">Das </w:t>
      </w:r>
      <w:r>
        <w:rPr>
          <w:b/>
        </w:rPr>
        <w:t>Merkmal</w:t>
      </w:r>
      <w:r>
        <w:t>: eine äußerlich erkennbare Körpereigenschaft, z.</w:t>
      </w:r>
      <w:r w:rsidR="00B62AC6">
        <w:t> </w:t>
      </w:r>
      <w:r>
        <w:t xml:space="preserve">B. Erbse: die Farbe der Samenschale, die Oberflächenstruktur der Samenschale, die Blütenfarbe; Mensch: </w:t>
      </w:r>
      <w:r w:rsidR="00B62AC6">
        <w:t>Augenfarbe,</w:t>
      </w:r>
      <w:r>
        <w:t xml:space="preserve"> Hauptblutgruppe (A</w:t>
      </w:r>
      <w:r w:rsidR="00B62AC6">
        <w:t xml:space="preserve">, </w:t>
      </w:r>
      <w:r>
        <w:t>B</w:t>
      </w:r>
      <w:r w:rsidR="00B62AC6">
        <w:t xml:space="preserve">, AB oder </w:t>
      </w:r>
      <w:r>
        <w:t>0); Stichlings</w:t>
      </w:r>
      <w:r w:rsidR="00B62AC6">
        <w:t>-M</w:t>
      </w:r>
      <w:r>
        <w:t>ännchen: Reaktion gegenüber Objekten mit roter Unterseite.</w:t>
      </w:r>
    </w:p>
    <w:p w14:paraId="4198E998" w14:textId="77777777" w:rsidR="00C81FBB" w:rsidRDefault="00C81FBB">
      <w:pPr>
        <w:jc w:val="both"/>
        <w:rPr>
          <w:sz w:val="12"/>
          <w:szCs w:val="12"/>
        </w:rPr>
      </w:pPr>
    </w:p>
    <w:p w14:paraId="22464277" w14:textId="54FFCE26" w:rsidR="00C81FBB" w:rsidRDefault="00EC7413">
      <w:pPr>
        <w:jc w:val="both"/>
      </w:pPr>
      <w:r>
        <w:rPr>
          <w:b/>
        </w:rPr>
        <w:t>Reinerbige Rassen</w:t>
      </w:r>
      <w:r>
        <w:t xml:space="preserve">: </w:t>
      </w:r>
      <w:r w:rsidR="00B62AC6">
        <w:t>U</w:t>
      </w:r>
      <w:r>
        <w:t>ntereinander gekreuzt ergeben sich stets nur Individuen mit der gleichen Varia</w:t>
      </w:r>
      <w:r w:rsidR="00B62AC6">
        <w:softHyphen/>
      </w:r>
      <w:r>
        <w:t>nte des Merkmals (z.</w:t>
      </w:r>
      <w:r w:rsidR="00B62AC6">
        <w:t> </w:t>
      </w:r>
      <w:r>
        <w:t xml:space="preserve">B. grüne Samenschale, </w:t>
      </w:r>
      <w:r w:rsidR="00B62AC6">
        <w:t xml:space="preserve">glatte Samenschale, </w:t>
      </w:r>
      <w:r>
        <w:t>Blutgruppe 0)</w:t>
      </w:r>
      <w:r w:rsidR="00B62AC6">
        <w:t>.</w:t>
      </w:r>
    </w:p>
    <w:p w14:paraId="7C708553" w14:textId="77777777" w:rsidR="00C81FBB" w:rsidRDefault="00C81FBB">
      <w:pPr>
        <w:jc w:val="both"/>
        <w:rPr>
          <w:sz w:val="12"/>
          <w:szCs w:val="12"/>
        </w:rPr>
      </w:pPr>
    </w:p>
    <w:p w14:paraId="03B7C6E7" w14:textId="287C3941" w:rsidR="00C81FBB" w:rsidRDefault="00EC7413">
      <w:pPr>
        <w:jc w:val="both"/>
      </w:pPr>
      <w:r>
        <w:t xml:space="preserve">Das </w:t>
      </w:r>
      <w:r>
        <w:rPr>
          <w:b/>
        </w:rPr>
        <w:t>Gen</w:t>
      </w:r>
      <w:r w:rsidR="00B62AC6">
        <w:rPr>
          <w:b/>
        </w:rPr>
        <w:t>, -e</w:t>
      </w:r>
      <w:r>
        <w:t>: Abschnitt des Erbguts, der für ein Merkmal verantwortlich ist (wobei etliche Merkmale von mehreren Genen bestimmt werden: Polygenie); strukturell ist das Gen ein DNA-Abschnitt</w:t>
      </w:r>
      <w:r w:rsidR="00B62AC6">
        <w:t xml:space="preserve"> (bei der Transcription trägt die entstehende m-RNA die Information von 1 Gen). Informatisch: „Attribut“.</w:t>
      </w:r>
    </w:p>
    <w:p w14:paraId="3C56483C" w14:textId="77777777" w:rsidR="00C81FBB" w:rsidRDefault="00C81FBB">
      <w:pPr>
        <w:jc w:val="both"/>
        <w:rPr>
          <w:sz w:val="12"/>
          <w:szCs w:val="12"/>
        </w:rPr>
      </w:pPr>
    </w:p>
    <w:p w14:paraId="551E081A" w14:textId="3BF292E8" w:rsidR="00C81FBB" w:rsidRDefault="00EC7413" w:rsidP="00B62AC6">
      <w:pPr>
        <w:spacing w:after="120"/>
        <w:jc w:val="both"/>
      </w:pPr>
      <w:r>
        <w:t xml:space="preserve">Das </w:t>
      </w:r>
      <w:r>
        <w:rPr>
          <w:b/>
        </w:rPr>
        <w:t>Allel</w:t>
      </w:r>
      <w:r>
        <w:t>: Genvariante; z.</w:t>
      </w:r>
      <w:r w:rsidR="00B62AC6">
        <w:t> </w:t>
      </w:r>
      <w:r>
        <w:t>B. „gelb“ bzw. „grün“ bei</w:t>
      </w:r>
      <w:r w:rsidR="00B62AC6">
        <w:t>m Gen für die</w:t>
      </w:r>
      <w:r>
        <w:t xml:space="preserve"> Samenschalenfarbe der Erbse.</w:t>
      </w:r>
      <w:r w:rsidR="00B62AC6">
        <w:t xml:space="preserve"> Informatisch: „Attributwert“.</w:t>
      </w:r>
    </w:p>
    <w:p w14:paraId="7C29B345" w14:textId="77777777" w:rsidR="00C81FBB" w:rsidRDefault="00C81FBB">
      <w:pPr>
        <w:jc w:val="both"/>
        <w:rPr>
          <w:sz w:val="8"/>
          <w:szCs w:val="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693"/>
        <w:gridCol w:w="2693"/>
        <w:gridCol w:w="2268"/>
      </w:tblGrid>
      <w:tr w:rsidR="00C81FBB" w:rsidRPr="00EC7413" w14:paraId="69E5E105" w14:textId="77777777" w:rsidTr="003C2D93">
        <w:tc>
          <w:tcPr>
            <w:tcW w:w="2122" w:type="dxa"/>
            <w:shd w:val="clear" w:color="auto" w:fill="auto"/>
          </w:tcPr>
          <w:p w14:paraId="66CF587F" w14:textId="77777777" w:rsidR="00C81FBB" w:rsidRPr="00EC7413" w:rsidRDefault="00EC7413" w:rsidP="00AF2B4D">
            <w:pPr>
              <w:jc w:val="center"/>
              <w:rPr>
                <w:rFonts w:ascii="Arial" w:hAnsi="Arial" w:cs="Arial"/>
                <w:b/>
              </w:rPr>
            </w:pPr>
            <w:r w:rsidRPr="00EC7413">
              <w:rPr>
                <w:rFonts w:ascii="Arial" w:hAnsi="Arial" w:cs="Arial"/>
                <w:b/>
              </w:rPr>
              <w:t>Organismus</w:t>
            </w:r>
          </w:p>
        </w:tc>
        <w:tc>
          <w:tcPr>
            <w:tcW w:w="2693" w:type="dxa"/>
            <w:shd w:val="clear" w:color="auto" w:fill="auto"/>
          </w:tcPr>
          <w:p w14:paraId="3B82F8D9" w14:textId="77777777" w:rsidR="00C81FBB" w:rsidRPr="00EC7413" w:rsidRDefault="00EC7413" w:rsidP="00AF2B4D">
            <w:pPr>
              <w:jc w:val="center"/>
              <w:rPr>
                <w:rFonts w:ascii="Arial" w:hAnsi="Arial" w:cs="Arial"/>
                <w:b/>
              </w:rPr>
            </w:pPr>
            <w:r w:rsidRPr="00EC7413">
              <w:rPr>
                <w:rFonts w:ascii="Arial" w:hAnsi="Arial" w:cs="Arial"/>
                <w:b/>
              </w:rPr>
              <w:t>Gen</w:t>
            </w:r>
          </w:p>
        </w:tc>
        <w:tc>
          <w:tcPr>
            <w:tcW w:w="2693" w:type="dxa"/>
            <w:shd w:val="clear" w:color="auto" w:fill="auto"/>
          </w:tcPr>
          <w:p w14:paraId="2A916836" w14:textId="6EE3B38D" w:rsidR="00C81FBB" w:rsidRPr="00EC7413" w:rsidRDefault="00EC7413" w:rsidP="00AF2B4D">
            <w:pPr>
              <w:jc w:val="center"/>
              <w:rPr>
                <w:rFonts w:ascii="Arial" w:hAnsi="Arial" w:cs="Arial"/>
                <w:b/>
              </w:rPr>
            </w:pPr>
            <w:r w:rsidRPr="00EC7413">
              <w:rPr>
                <w:rFonts w:ascii="Arial" w:hAnsi="Arial" w:cs="Arial"/>
                <w:b/>
              </w:rPr>
              <w:t>Allel</w:t>
            </w:r>
            <w:r w:rsidR="003C2D93">
              <w:rPr>
                <w:rFonts w:ascii="Arial" w:hAnsi="Arial" w:cs="Arial"/>
                <w:b/>
              </w:rPr>
              <w:t>e</w:t>
            </w:r>
            <w:r w:rsidRPr="00EC7413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EC7413">
              <w:rPr>
                <w:rFonts w:ascii="Arial" w:hAnsi="Arial" w:cs="Arial"/>
                <w:b/>
              </w:rPr>
              <w:t>Allelsymbol</w:t>
            </w:r>
            <w:r w:rsidR="003C2D93">
              <w:rPr>
                <w:rFonts w:ascii="Arial" w:hAnsi="Arial" w:cs="Arial"/>
                <w:b/>
              </w:rPr>
              <w:t>e</w:t>
            </w:r>
            <w:proofErr w:type="spellEnd"/>
            <w:r w:rsidRPr="00EC741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757AF1E" w14:textId="77777777" w:rsidR="00C81FBB" w:rsidRPr="00EC7413" w:rsidRDefault="00EC7413" w:rsidP="00AF2B4D">
            <w:pPr>
              <w:jc w:val="center"/>
              <w:rPr>
                <w:rFonts w:ascii="Arial" w:hAnsi="Arial" w:cs="Arial"/>
                <w:b/>
              </w:rPr>
            </w:pPr>
            <w:r w:rsidRPr="00EC7413">
              <w:rPr>
                <w:rFonts w:ascii="Arial" w:hAnsi="Arial" w:cs="Arial"/>
                <w:b/>
              </w:rPr>
              <w:t>Merkmal</w:t>
            </w:r>
          </w:p>
        </w:tc>
      </w:tr>
      <w:tr w:rsidR="00C81FBB" w14:paraId="334D1EC7" w14:textId="77777777" w:rsidTr="003C2D93">
        <w:tc>
          <w:tcPr>
            <w:tcW w:w="2122" w:type="dxa"/>
            <w:shd w:val="clear" w:color="auto" w:fill="auto"/>
          </w:tcPr>
          <w:p w14:paraId="4BAC0900" w14:textId="77777777" w:rsidR="00AF2B4D" w:rsidRDefault="00EC7413" w:rsidP="00EC7413">
            <w:pPr>
              <w:jc w:val="both"/>
            </w:pPr>
            <w:r>
              <w:t xml:space="preserve">Saaterbse </w:t>
            </w:r>
          </w:p>
          <w:p w14:paraId="341306E8" w14:textId="21E220DD" w:rsidR="00C81FBB" w:rsidRDefault="00EC7413" w:rsidP="00EC7413">
            <w:pPr>
              <w:jc w:val="both"/>
            </w:pPr>
            <w:r w:rsidRPr="00EC7413">
              <w:rPr>
                <w:i/>
              </w:rPr>
              <w:t>(</w:t>
            </w:r>
            <w:proofErr w:type="spellStart"/>
            <w:r w:rsidRPr="00EC7413">
              <w:rPr>
                <w:i/>
              </w:rPr>
              <w:t>Pisum</w:t>
            </w:r>
            <w:proofErr w:type="spellEnd"/>
            <w:r w:rsidRPr="00EC7413">
              <w:rPr>
                <w:i/>
              </w:rPr>
              <w:t xml:space="preserve"> </w:t>
            </w:r>
            <w:proofErr w:type="spellStart"/>
            <w:r w:rsidRPr="00EC7413">
              <w:rPr>
                <w:i/>
              </w:rPr>
              <w:t>sativum</w:t>
            </w:r>
            <w:proofErr w:type="spellEnd"/>
            <w:r w:rsidRPr="00EC7413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8FCB14B" w14:textId="6AD49202" w:rsidR="00C81FBB" w:rsidRDefault="00EC7413">
            <w:r>
              <w:t>Gen für Farbe der Samen</w:t>
            </w:r>
            <w:r w:rsidR="003C2D93">
              <w:softHyphen/>
            </w:r>
            <w:r w:rsidR="003C2D93">
              <w:softHyphen/>
            </w:r>
            <w:r w:rsidR="003C2D93">
              <w:softHyphen/>
            </w:r>
            <w:r>
              <w:t>schale</w:t>
            </w:r>
          </w:p>
        </w:tc>
        <w:tc>
          <w:tcPr>
            <w:tcW w:w="2693" w:type="dxa"/>
            <w:shd w:val="clear" w:color="auto" w:fill="auto"/>
          </w:tcPr>
          <w:p w14:paraId="712A813B" w14:textId="77777777" w:rsidR="00C81FBB" w:rsidRDefault="00EC7413" w:rsidP="00EC7413">
            <w:pPr>
              <w:jc w:val="both"/>
            </w:pPr>
            <w:r>
              <w:t>a) gelb (G)</w:t>
            </w:r>
          </w:p>
          <w:p w14:paraId="06AC9F5C" w14:textId="77777777" w:rsidR="00C81FBB" w:rsidRDefault="00EC7413" w:rsidP="00EC7413">
            <w:pPr>
              <w:jc w:val="both"/>
            </w:pPr>
            <w:r>
              <w:t>b) grün (g)</w:t>
            </w:r>
          </w:p>
        </w:tc>
        <w:tc>
          <w:tcPr>
            <w:tcW w:w="2268" w:type="dxa"/>
            <w:shd w:val="clear" w:color="auto" w:fill="auto"/>
          </w:tcPr>
          <w:p w14:paraId="276A47B1" w14:textId="77777777" w:rsidR="00C81FBB" w:rsidRDefault="00EC7413">
            <w:r>
              <w:t>gelber bzw. grüner Farbstoff</w:t>
            </w:r>
          </w:p>
        </w:tc>
      </w:tr>
      <w:tr w:rsidR="00C81FBB" w14:paraId="547A5F0C" w14:textId="77777777" w:rsidTr="003C2D93">
        <w:tc>
          <w:tcPr>
            <w:tcW w:w="2122" w:type="dxa"/>
            <w:shd w:val="clear" w:color="auto" w:fill="auto"/>
          </w:tcPr>
          <w:p w14:paraId="7FF14345" w14:textId="77777777" w:rsidR="00AF2B4D" w:rsidRDefault="00EC7413" w:rsidP="00EC7413">
            <w:pPr>
              <w:jc w:val="both"/>
            </w:pPr>
            <w:r>
              <w:t xml:space="preserve">Saaterbse </w:t>
            </w:r>
          </w:p>
          <w:p w14:paraId="66BEC02E" w14:textId="37F9A9BB" w:rsidR="00C81FBB" w:rsidRDefault="00EC7413" w:rsidP="00EC7413">
            <w:pPr>
              <w:jc w:val="both"/>
            </w:pPr>
            <w:r w:rsidRPr="00EC7413">
              <w:rPr>
                <w:i/>
              </w:rPr>
              <w:t>(</w:t>
            </w:r>
            <w:proofErr w:type="spellStart"/>
            <w:r w:rsidRPr="00EC7413">
              <w:rPr>
                <w:i/>
              </w:rPr>
              <w:t>Pisum</w:t>
            </w:r>
            <w:proofErr w:type="spellEnd"/>
            <w:r w:rsidRPr="00EC7413">
              <w:rPr>
                <w:i/>
              </w:rPr>
              <w:t xml:space="preserve"> </w:t>
            </w:r>
            <w:proofErr w:type="spellStart"/>
            <w:r w:rsidRPr="00EC7413">
              <w:rPr>
                <w:i/>
              </w:rPr>
              <w:t>sativum</w:t>
            </w:r>
            <w:proofErr w:type="spellEnd"/>
            <w:r w:rsidRPr="00EC7413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EDF81D9" w14:textId="77F24E3C" w:rsidR="00C81FBB" w:rsidRDefault="00EC7413">
            <w:r>
              <w:t>Gen für Oberflächen</w:t>
            </w:r>
            <w:r w:rsidR="003C2D93">
              <w:softHyphen/>
            </w:r>
            <w:r>
              <w:t>struk</w:t>
            </w:r>
            <w:r w:rsidR="003C2D93">
              <w:softHyphen/>
            </w:r>
            <w:r>
              <w:t>tur der Samenschale</w:t>
            </w:r>
          </w:p>
        </w:tc>
        <w:tc>
          <w:tcPr>
            <w:tcW w:w="2693" w:type="dxa"/>
            <w:shd w:val="clear" w:color="auto" w:fill="auto"/>
          </w:tcPr>
          <w:p w14:paraId="1F853335" w14:textId="77777777" w:rsidR="00C81FBB" w:rsidRDefault="00EC7413" w:rsidP="00EC7413">
            <w:pPr>
              <w:jc w:val="both"/>
            </w:pPr>
            <w:r>
              <w:t>a) rund, glatt (R)</w:t>
            </w:r>
          </w:p>
          <w:p w14:paraId="540A35C5" w14:textId="77777777" w:rsidR="00C81FBB" w:rsidRDefault="00EC7413" w:rsidP="00EC7413">
            <w:pPr>
              <w:jc w:val="both"/>
            </w:pPr>
            <w:r>
              <w:t>b) runzlig (r)</w:t>
            </w:r>
          </w:p>
        </w:tc>
        <w:tc>
          <w:tcPr>
            <w:tcW w:w="2268" w:type="dxa"/>
            <w:shd w:val="clear" w:color="auto" w:fill="auto"/>
          </w:tcPr>
          <w:p w14:paraId="26BDA547" w14:textId="446A93BD" w:rsidR="00C81FBB" w:rsidRDefault="00EC7413">
            <w:r>
              <w:t>glatte bzw. runzlige Oberfläche</w:t>
            </w:r>
          </w:p>
        </w:tc>
      </w:tr>
      <w:tr w:rsidR="00C81FBB" w14:paraId="5D039635" w14:textId="77777777" w:rsidTr="003C2D93">
        <w:tc>
          <w:tcPr>
            <w:tcW w:w="2122" w:type="dxa"/>
            <w:shd w:val="clear" w:color="auto" w:fill="auto"/>
          </w:tcPr>
          <w:p w14:paraId="08DFBF28" w14:textId="77777777" w:rsidR="00AF2B4D" w:rsidRDefault="00EC7413" w:rsidP="00EC7413">
            <w:pPr>
              <w:jc w:val="both"/>
            </w:pPr>
            <w:r>
              <w:t xml:space="preserve">Saaterbse </w:t>
            </w:r>
          </w:p>
          <w:p w14:paraId="294AFAD0" w14:textId="7A4374AB" w:rsidR="00C81FBB" w:rsidRDefault="00EC7413" w:rsidP="00EC7413">
            <w:pPr>
              <w:jc w:val="both"/>
            </w:pPr>
            <w:r w:rsidRPr="00EC7413">
              <w:rPr>
                <w:i/>
              </w:rPr>
              <w:t>(</w:t>
            </w:r>
            <w:proofErr w:type="spellStart"/>
            <w:r w:rsidRPr="00EC7413">
              <w:rPr>
                <w:i/>
              </w:rPr>
              <w:t>Pisum</w:t>
            </w:r>
            <w:proofErr w:type="spellEnd"/>
            <w:r w:rsidRPr="00EC7413">
              <w:rPr>
                <w:i/>
              </w:rPr>
              <w:t xml:space="preserve"> </w:t>
            </w:r>
            <w:proofErr w:type="spellStart"/>
            <w:r w:rsidRPr="00EC7413">
              <w:rPr>
                <w:i/>
              </w:rPr>
              <w:t>sativum</w:t>
            </w:r>
            <w:proofErr w:type="spellEnd"/>
            <w:r w:rsidRPr="00EC7413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3C84CAAA" w14:textId="77777777" w:rsidR="00C81FBB" w:rsidRDefault="00EC7413">
            <w:r>
              <w:t>Gen für Blütenfarbe</w:t>
            </w:r>
          </w:p>
        </w:tc>
        <w:tc>
          <w:tcPr>
            <w:tcW w:w="2693" w:type="dxa"/>
            <w:shd w:val="clear" w:color="auto" w:fill="auto"/>
          </w:tcPr>
          <w:p w14:paraId="4D5FB213" w14:textId="77777777" w:rsidR="00C81FBB" w:rsidRPr="00EC7413" w:rsidRDefault="00EC7413" w:rsidP="00EC7413">
            <w:pPr>
              <w:jc w:val="both"/>
              <w:rPr>
                <w:lang w:val="en-GB"/>
              </w:rPr>
            </w:pPr>
            <w:r w:rsidRPr="00EC7413">
              <w:rPr>
                <w:lang w:val="en-GB"/>
              </w:rPr>
              <w:t xml:space="preserve">a) </w:t>
            </w:r>
            <w:proofErr w:type="spellStart"/>
            <w:r w:rsidRPr="00EC7413">
              <w:rPr>
                <w:lang w:val="en-GB"/>
              </w:rPr>
              <w:t>violett</w:t>
            </w:r>
            <w:proofErr w:type="spellEnd"/>
            <w:r w:rsidRPr="00EC7413">
              <w:rPr>
                <w:lang w:val="en-GB"/>
              </w:rPr>
              <w:t xml:space="preserve"> (A)</w:t>
            </w:r>
          </w:p>
          <w:p w14:paraId="6B3F6654" w14:textId="77777777" w:rsidR="00C81FBB" w:rsidRPr="00EC7413" w:rsidRDefault="00EC7413" w:rsidP="00EC7413">
            <w:pPr>
              <w:jc w:val="both"/>
              <w:rPr>
                <w:lang w:val="en-GB"/>
              </w:rPr>
            </w:pPr>
            <w:r w:rsidRPr="00EC7413">
              <w:rPr>
                <w:lang w:val="en-GB"/>
              </w:rPr>
              <w:t xml:space="preserve">b) </w:t>
            </w:r>
            <w:proofErr w:type="spellStart"/>
            <w:r w:rsidRPr="00EC7413">
              <w:rPr>
                <w:lang w:val="en-GB"/>
              </w:rPr>
              <w:t>weiß</w:t>
            </w:r>
            <w:proofErr w:type="spellEnd"/>
            <w:r w:rsidRPr="00EC7413">
              <w:rPr>
                <w:lang w:val="en-GB"/>
              </w:rPr>
              <w:t xml:space="preserve"> (a)</w:t>
            </w:r>
          </w:p>
        </w:tc>
        <w:tc>
          <w:tcPr>
            <w:tcW w:w="2268" w:type="dxa"/>
            <w:shd w:val="clear" w:color="auto" w:fill="auto"/>
          </w:tcPr>
          <w:p w14:paraId="7A45A623" w14:textId="77777777" w:rsidR="00C81FBB" w:rsidRDefault="00EC7413">
            <w:r>
              <w:t>violetter Farbstoff bzw. keiner</w:t>
            </w:r>
          </w:p>
        </w:tc>
      </w:tr>
      <w:tr w:rsidR="00C81FBB" w14:paraId="07BB2DE3" w14:textId="77777777" w:rsidTr="003C2D93">
        <w:tc>
          <w:tcPr>
            <w:tcW w:w="2122" w:type="dxa"/>
            <w:shd w:val="clear" w:color="auto" w:fill="auto"/>
          </w:tcPr>
          <w:p w14:paraId="01511F04" w14:textId="77777777" w:rsidR="00AF2B4D" w:rsidRDefault="00EC7413" w:rsidP="00EC7413">
            <w:pPr>
              <w:jc w:val="both"/>
            </w:pPr>
            <w:r>
              <w:t>Mensch</w:t>
            </w:r>
          </w:p>
          <w:p w14:paraId="6DA65514" w14:textId="616F2E53" w:rsidR="00C81FBB" w:rsidRDefault="00EC7413" w:rsidP="00EC7413">
            <w:pPr>
              <w:jc w:val="both"/>
            </w:pPr>
            <w:r w:rsidRPr="00EC7413">
              <w:rPr>
                <w:i/>
              </w:rPr>
              <w:t>(Homo sapiens)</w:t>
            </w:r>
          </w:p>
        </w:tc>
        <w:tc>
          <w:tcPr>
            <w:tcW w:w="2693" w:type="dxa"/>
            <w:shd w:val="clear" w:color="auto" w:fill="auto"/>
          </w:tcPr>
          <w:p w14:paraId="211ADAB3" w14:textId="6AD12BDB" w:rsidR="00C81FBB" w:rsidRDefault="00EC7413">
            <w:r>
              <w:t xml:space="preserve">Gen für Blutgruppen des AB0-Systems </w:t>
            </w:r>
            <w:r w:rsidRPr="00EC7413">
              <w:rPr>
                <w:i/>
              </w:rPr>
              <w:t>(auf dem langen Arm des Chromo</w:t>
            </w:r>
            <w:r w:rsidR="003C2D93">
              <w:rPr>
                <w:i/>
              </w:rPr>
              <w:softHyphen/>
            </w:r>
            <w:r w:rsidRPr="00EC7413">
              <w:rPr>
                <w:i/>
              </w:rPr>
              <w:t>soms Nr. 9)</w:t>
            </w:r>
          </w:p>
        </w:tc>
        <w:tc>
          <w:tcPr>
            <w:tcW w:w="2693" w:type="dxa"/>
            <w:shd w:val="clear" w:color="auto" w:fill="auto"/>
          </w:tcPr>
          <w:p w14:paraId="52074941" w14:textId="23982C72" w:rsidR="00C81FBB" w:rsidRPr="003C2D93" w:rsidRDefault="00EC7413" w:rsidP="00EC7413">
            <w:pPr>
              <w:jc w:val="both"/>
            </w:pPr>
            <w:r>
              <w:t>a) A (A)</w:t>
            </w:r>
          </w:p>
          <w:p w14:paraId="7C92121C" w14:textId="00F1C1A2" w:rsidR="00C81FBB" w:rsidRPr="00EC7413" w:rsidRDefault="003C2D93" w:rsidP="00EC741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="00EC7413" w:rsidRPr="00EC7413">
              <w:rPr>
                <w:lang w:val="en-GB"/>
              </w:rPr>
              <w:t>) B (B)</w:t>
            </w:r>
          </w:p>
          <w:p w14:paraId="0ACDB1AA" w14:textId="2AD83B60" w:rsidR="00C81FBB" w:rsidRPr="00EC7413" w:rsidRDefault="003C2D93" w:rsidP="00EC7413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="00EC7413" w:rsidRPr="00EC7413">
              <w:rPr>
                <w:lang w:val="en-GB"/>
              </w:rPr>
              <w:t>) 0 (0)</w:t>
            </w:r>
          </w:p>
        </w:tc>
        <w:tc>
          <w:tcPr>
            <w:tcW w:w="2268" w:type="dxa"/>
            <w:shd w:val="clear" w:color="auto" w:fill="auto"/>
          </w:tcPr>
          <w:p w14:paraId="1025730B" w14:textId="4024645D" w:rsidR="00C81FBB" w:rsidRDefault="00EC7413">
            <w:proofErr w:type="spellStart"/>
            <w:r>
              <w:t>Glycoproteine</w:t>
            </w:r>
            <w:proofErr w:type="spellEnd"/>
            <w:r>
              <w:t xml:space="preserve"> ähn</w:t>
            </w:r>
            <w:r w:rsidR="003C2D93">
              <w:softHyphen/>
            </w:r>
            <w:r>
              <w:t xml:space="preserve">licher Bauart in der Zellmembran bzw. </w:t>
            </w:r>
            <w:r w:rsidR="003C2D93">
              <w:t>fehlend</w:t>
            </w:r>
          </w:p>
        </w:tc>
      </w:tr>
      <w:tr w:rsidR="00C81FBB" w14:paraId="3151F9BC" w14:textId="77777777" w:rsidTr="003C2D93">
        <w:tc>
          <w:tcPr>
            <w:tcW w:w="2122" w:type="dxa"/>
            <w:shd w:val="clear" w:color="auto" w:fill="auto"/>
          </w:tcPr>
          <w:p w14:paraId="32DC1C7B" w14:textId="77777777" w:rsidR="00C81FBB" w:rsidRDefault="00EC7413" w:rsidP="00EC7413">
            <w:pPr>
              <w:jc w:val="both"/>
            </w:pPr>
            <w:r>
              <w:t xml:space="preserve">Fruchtfliege </w:t>
            </w:r>
          </w:p>
          <w:p w14:paraId="413D6B4F" w14:textId="42959C92" w:rsidR="00C81FBB" w:rsidRPr="00EC7413" w:rsidRDefault="00EC7413" w:rsidP="00AF2B4D">
            <w:pPr>
              <w:rPr>
                <w:i/>
              </w:rPr>
            </w:pPr>
            <w:r w:rsidRPr="00EC7413">
              <w:rPr>
                <w:i/>
              </w:rPr>
              <w:t>(Drosophila</w:t>
            </w:r>
            <w:r w:rsidR="00AF2B4D">
              <w:rPr>
                <w:i/>
              </w:rPr>
              <w:t xml:space="preserve"> </w:t>
            </w:r>
            <w:proofErr w:type="spellStart"/>
            <w:r w:rsidR="00AF2B4D">
              <w:rPr>
                <w:i/>
              </w:rPr>
              <w:t>m</w:t>
            </w:r>
            <w:r w:rsidRPr="00EC7413">
              <w:rPr>
                <w:i/>
              </w:rPr>
              <w:t>elano</w:t>
            </w:r>
            <w:r w:rsidR="00AF2B4D">
              <w:rPr>
                <w:i/>
              </w:rPr>
              <w:softHyphen/>
            </w:r>
            <w:r w:rsidRPr="00EC7413">
              <w:rPr>
                <w:i/>
              </w:rPr>
              <w:t>gaster</w:t>
            </w:r>
            <w:proofErr w:type="spellEnd"/>
            <w:r w:rsidRPr="00EC7413">
              <w:rPr>
                <w:i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6C4A7A42" w14:textId="758C5243" w:rsidR="00C81FBB" w:rsidRDefault="00EC7413">
            <w:r>
              <w:t>Gen für Färbung der Kör</w:t>
            </w:r>
            <w:r w:rsidR="003C2D93">
              <w:softHyphen/>
            </w:r>
            <w:r>
              <w:t>peroberfläche („</w:t>
            </w:r>
            <w:proofErr w:type="spellStart"/>
            <w:r>
              <w:t>ebony</w:t>
            </w:r>
            <w:proofErr w:type="spellEnd"/>
            <w:r>
              <w:t>“)</w:t>
            </w:r>
          </w:p>
        </w:tc>
        <w:tc>
          <w:tcPr>
            <w:tcW w:w="2693" w:type="dxa"/>
            <w:shd w:val="clear" w:color="auto" w:fill="auto"/>
          </w:tcPr>
          <w:p w14:paraId="0041178A" w14:textId="77777777" w:rsidR="00C81FBB" w:rsidRDefault="00EC7413" w:rsidP="00EC7413">
            <w:pPr>
              <w:jc w:val="both"/>
            </w:pPr>
            <w:r>
              <w:t>a) hellbraun (Wildtyp)</w:t>
            </w:r>
          </w:p>
          <w:p w14:paraId="5C30A96D" w14:textId="77777777" w:rsidR="00C81FBB" w:rsidRDefault="00EC7413" w:rsidP="00EC7413">
            <w:pPr>
              <w:jc w:val="both"/>
            </w:pPr>
            <w:r>
              <w:t>b) dunkelbraun</w:t>
            </w:r>
          </w:p>
        </w:tc>
        <w:tc>
          <w:tcPr>
            <w:tcW w:w="2268" w:type="dxa"/>
            <w:shd w:val="clear" w:color="auto" w:fill="auto"/>
          </w:tcPr>
          <w:p w14:paraId="51E09F74" w14:textId="4F2B2664" w:rsidR="00C81FBB" w:rsidRDefault="00EC7413">
            <w:r>
              <w:t>brauner Farbstoff in unterschiedlicher Menge</w:t>
            </w:r>
          </w:p>
        </w:tc>
      </w:tr>
    </w:tbl>
    <w:p w14:paraId="30E67DE9" w14:textId="77777777" w:rsidR="00C81FBB" w:rsidRDefault="00C81FBB">
      <w:pPr>
        <w:jc w:val="both"/>
        <w:rPr>
          <w:sz w:val="10"/>
          <w:szCs w:val="10"/>
        </w:rPr>
      </w:pPr>
    </w:p>
    <w:p w14:paraId="15791A9B" w14:textId="2F412A08" w:rsidR="00C81FBB" w:rsidRDefault="00EC7413">
      <w:pPr>
        <w:jc w:val="both"/>
      </w:pPr>
      <w:r>
        <w:t xml:space="preserve">Die </w:t>
      </w:r>
      <w:r>
        <w:rPr>
          <w:b/>
        </w:rPr>
        <w:t>Parentalgeneration</w:t>
      </w:r>
      <w:r w:rsidR="003C2D93">
        <w:rPr>
          <w:b/>
        </w:rPr>
        <w:t xml:space="preserve"> (</w:t>
      </w:r>
      <w:r w:rsidR="003C2D93">
        <w:t>Symbol: P)</w:t>
      </w:r>
      <w:r>
        <w:t>: die Elterngeneration, die bei einem Kreuzungsexperiment einge</w:t>
      </w:r>
      <w:r w:rsidR="003C2D93">
        <w:softHyphen/>
      </w:r>
      <w:r>
        <w:t>setzt wird; Mendel verlangte, dass die Individuen der Parentalgeneration reinerbig sind</w:t>
      </w:r>
      <w:r w:rsidR="003C2D93">
        <w:t>.</w:t>
      </w:r>
    </w:p>
    <w:p w14:paraId="61FE604F" w14:textId="77777777" w:rsidR="00C81FBB" w:rsidRDefault="00C81FBB">
      <w:pPr>
        <w:jc w:val="both"/>
        <w:rPr>
          <w:sz w:val="12"/>
          <w:szCs w:val="12"/>
        </w:rPr>
      </w:pPr>
    </w:p>
    <w:p w14:paraId="76C192C8" w14:textId="0594D4FA" w:rsidR="00C81FBB" w:rsidRDefault="00EC7413">
      <w:pPr>
        <w:jc w:val="both"/>
      </w:pPr>
      <w:r>
        <w:t xml:space="preserve">Die </w:t>
      </w:r>
      <w:r>
        <w:rPr>
          <w:b/>
        </w:rPr>
        <w:t>Filialgeneration</w:t>
      </w:r>
      <w:r>
        <w:t>: die erste Filialgeneration (</w:t>
      </w:r>
      <w:r w:rsidR="00774453">
        <w:t xml:space="preserve">Symbol: </w:t>
      </w:r>
      <w:r>
        <w:t>F</w:t>
      </w:r>
      <w:r>
        <w:rPr>
          <w:vertAlign w:val="subscript"/>
        </w:rPr>
        <w:t>1</w:t>
      </w:r>
      <w:r>
        <w:t>) umfasst alle Nachkommen einer Kreu</w:t>
      </w:r>
      <w:r w:rsidR="00774453">
        <w:softHyphen/>
      </w:r>
      <w:r>
        <w:t>zung der Individuen der P-Generation untereinander; die zweite Filialgeneration (</w:t>
      </w:r>
      <w:r w:rsidR="00774453">
        <w:t xml:space="preserve">Symbol: </w:t>
      </w:r>
      <w:r>
        <w:t>F</w:t>
      </w:r>
      <w:r>
        <w:rPr>
          <w:vertAlign w:val="subscript"/>
        </w:rPr>
        <w:t>2</w:t>
      </w:r>
      <w:r>
        <w:t>) umfasst alle Nachkommen einer Kreuzung der Individuen der F</w:t>
      </w:r>
      <w:r>
        <w:rPr>
          <w:vertAlign w:val="subscript"/>
        </w:rPr>
        <w:t>1</w:t>
      </w:r>
      <w:r>
        <w:t>-Generation untereinander, usw.</w:t>
      </w:r>
    </w:p>
    <w:p w14:paraId="7B290BEC" w14:textId="77777777" w:rsidR="00C81FBB" w:rsidRDefault="00C81FBB">
      <w:pPr>
        <w:jc w:val="both"/>
        <w:rPr>
          <w:sz w:val="12"/>
          <w:szCs w:val="12"/>
        </w:rPr>
      </w:pPr>
    </w:p>
    <w:p w14:paraId="70BB53F1" w14:textId="39BB3CC2" w:rsidR="00C81FBB" w:rsidRDefault="00EC7413">
      <w:pPr>
        <w:jc w:val="both"/>
      </w:pPr>
      <w:r>
        <w:t xml:space="preserve">Der </w:t>
      </w:r>
      <w:r>
        <w:rPr>
          <w:b/>
        </w:rPr>
        <w:t>monohybride Erbgang</w:t>
      </w:r>
      <w:r>
        <w:t xml:space="preserve"> ist ein Kreuzungsversuch, bei dem nur die Vererbung eines einziges Merk</w:t>
      </w:r>
      <w:r w:rsidR="00774453">
        <w:softHyphen/>
      </w:r>
      <w:r>
        <w:t xml:space="preserve">mals betrachtet wird; der </w:t>
      </w:r>
      <w:r>
        <w:rPr>
          <w:b/>
        </w:rPr>
        <w:t>dihybride</w:t>
      </w:r>
      <w:r>
        <w:t xml:space="preserve"> Erbgang ist ein Kreuzungsversuch, bei dem nur die Vererbung von zwei Merkmalen betrachtet wird.</w:t>
      </w:r>
    </w:p>
    <w:p w14:paraId="5D904474" w14:textId="77777777" w:rsidR="00C81FBB" w:rsidRDefault="00C81FBB">
      <w:pPr>
        <w:jc w:val="both"/>
        <w:rPr>
          <w:sz w:val="12"/>
          <w:szCs w:val="12"/>
        </w:rPr>
      </w:pPr>
    </w:p>
    <w:p w14:paraId="029EF262" w14:textId="682CFA37" w:rsidR="00C81FBB" w:rsidRDefault="00EC7413">
      <w:pPr>
        <w:jc w:val="both"/>
      </w:pPr>
      <w:r>
        <w:rPr>
          <w:b/>
        </w:rPr>
        <w:t>reinerbig = homozygot</w:t>
      </w:r>
      <w:r>
        <w:t xml:space="preserve">: </w:t>
      </w:r>
      <w:r w:rsidR="00774453">
        <w:t>I</w:t>
      </w:r>
      <w:r>
        <w:t>n der diploiden Zelle liegen zwei identische Allele des selben Gens vor</w:t>
      </w:r>
      <w:r w:rsidR="00774453">
        <w:t>.</w:t>
      </w:r>
    </w:p>
    <w:p w14:paraId="26C53DB8" w14:textId="4265CBCD" w:rsidR="00C81FBB" w:rsidRDefault="00EC7413">
      <w:pPr>
        <w:jc w:val="both"/>
      </w:pPr>
      <w:r>
        <w:rPr>
          <w:b/>
        </w:rPr>
        <w:t>mischerbig = heterozygot</w:t>
      </w:r>
      <w:r>
        <w:t xml:space="preserve">: </w:t>
      </w:r>
      <w:r w:rsidR="00774453">
        <w:t>I</w:t>
      </w:r>
      <w:r>
        <w:t>n der diploiden Zelle liegen zwei unterschiedliche Allele des selben Gens vor</w:t>
      </w:r>
      <w:r w:rsidR="00774453">
        <w:t>.</w:t>
      </w:r>
    </w:p>
    <w:p w14:paraId="77DD8473" w14:textId="77777777" w:rsidR="00C81FBB" w:rsidRDefault="00C81FBB">
      <w:pPr>
        <w:jc w:val="both"/>
      </w:pPr>
    </w:p>
    <w:p w14:paraId="082F20FF" w14:textId="77777777" w:rsidR="00C81FBB" w:rsidRDefault="00EC741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Gepflogenheiten beim Skizzieren von Erbgängen:</w:t>
      </w:r>
    </w:p>
    <w:p w14:paraId="13119BCC" w14:textId="77777777" w:rsidR="00C81FBB" w:rsidRDefault="00C81FBB">
      <w:pPr>
        <w:jc w:val="both"/>
        <w:rPr>
          <w:b/>
          <w:sz w:val="8"/>
          <w:szCs w:val="8"/>
        </w:rPr>
      </w:pPr>
    </w:p>
    <w:p w14:paraId="2592ADB0" w14:textId="77777777" w:rsidR="00C81FBB" w:rsidRDefault="00EC7413">
      <w:pPr>
        <w:jc w:val="both"/>
      </w:pPr>
      <w:r>
        <w:t xml:space="preserve">Zunächst werden die Gene genannt und deren </w:t>
      </w:r>
      <w:proofErr w:type="spellStart"/>
      <w:r>
        <w:rPr>
          <w:b/>
        </w:rPr>
        <w:t>Allelsymbole</w:t>
      </w:r>
      <w:proofErr w:type="spellEnd"/>
      <w:r>
        <w:t xml:space="preserve"> definiert; dabei gilt: ein dominant-rezessives Allelenpaar wird durch den selben Buchstaben symbolisiert, das </w:t>
      </w:r>
      <w:r>
        <w:rPr>
          <w:b/>
        </w:rPr>
        <w:t>dominante</w:t>
      </w:r>
      <w:r>
        <w:t xml:space="preserve"> Allel durch die Majuskel (Großbuchstabe), das </w:t>
      </w:r>
      <w:r>
        <w:rPr>
          <w:b/>
        </w:rPr>
        <w:t>rezessive</w:t>
      </w:r>
      <w:r>
        <w:t xml:space="preserve"> Allel durch die Minuskel (Kleinbuchstabe).</w:t>
      </w:r>
    </w:p>
    <w:p w14:paraId="071E04D8" w14:textId="5D8BC63F" w:rsidR="00C81FBB" w:rsidRDefault="00EC7413" w:rsidP="00001463">
      <w:pPr>
        <w:spacing w:after="120"/>
        <w:jc w:val="both"/>
      </w:pPr>
      <w:r>
        <w:t xml:space="preserve">In jeder Generation wird der </w:t>
      </w:r>
      <w:r>
        <w:rPr>
          <w:b/>
        </w:rPr>
        <w:t>Phänotyp</w:t>
      </w:r>
      <w:r>
        <w:t xml:space="preserve"> (sichtbare Merkmale in Worten / als Farbsymbol ...) und der </w:t>
      </w:r>
      <w:r>
        <w:rPr>
          <w:b/>
        </w:rPr>
        <w:t>Genotyp</w:t>
      </w:r>
      <w:r>
        <w:t xml:space="preserve"> der Körperzellen (er umfasst die Symbole der beiden Allele in der diploiden Zelle) </w:t>
      </w:r>
      <w:proofErr w:type="spellStart"/>
      <w:r>
        <w:t>angege-ben</w:t>
      </w:r>
      <w:proofErr w:type="spellEnd"/>
      <w:r>
        <w:t xml:space="preserve">; unter den Genotyp der Körperzellen </w:t>
      </w:r>
      <w:r w:rsidR="00001463">
        <w:t>wird</w:t>
      </w:r>
      <w:r>
        <w:t xml:space="preserve"> bis zur vorletzten Generation de</w:t>
      </w:r>
      <w:r w:rsidR="00001463">
        <w:t>r</w:t>
      </w:r>
      <w:r>
        <w:t xml:space="preserve"> Genotyp der Keim</w:t>
      </w:r>
      <w:r w:rsidR="00001463">
        <w:softHyphen/>
      </w:r>
      <w:r>
        <w:t xml:space="preserve">zellen </w:t>
      </w:r>
      <w:r w:rsidR="00001463">
        <w:t xml:space="preserve">geschrieben </w:t>
      </w:r>
      <w:r>
        <w:t xml:space="preserve">(je 1 </w:t>
      </w:r>
      <w:proofErr w:type="spellStart"/>
      <w:r>
        <w:t>Allelsymbol</w:t>
      </w:r>
      <w:proofErr w:type="spellEnd"/>
      <w:r>
        <w:t xml:space="preserve"> in der haploiden Zelle). Durch Striche oder durch ein Kreuzungs-quadrat </w:t>
      </w:r>
      <w:r w:rsidR="00001463">
        <w:t>wird gezeigt</w:t>
      </w:r>
      <w:r>
        <w:t xml:space="preserve">, welche Keimzellen miteinander kombiniert werden und gibt dabei </w:t>
      </w:r>
      <w:r w:rsidRPr="00001463">
        <w:rPr>
          <w:u w:val="single"/>
        </w:rPr>
        <w:t>alle</w:t>
      </w:r>
      <w:r>
        <w:t xml:space="preserve"> </w:t>
      </w:r>
      <w:proofErr w:type="spellStart"/>
      <w:r>
        <w:t>Kombina-</w:t>
      </w:r>
      <w:r>
        <w:lastRenderedPageBreak/>
        <w:t>tionsmöglichkeiten</w:t>
      </w:r>
      <w:proofErr w:type="spellEnd"/>
      <w:r>
        <w:t xml:space="preserve"> an. Genotyp bei dihybrider Vererbung: Zunächst </w:t>
      </w:r>
      <w:r w:rsidR="00001463">
        <w:t>werden</w:t>
      </w:r>
      <w:r>
        <w:t xml:space="preserve"> beide Allele des ersten Gens, dann beide Allele des zweiten Gens</w:t>
      </w:r>
      <w:r w:rsidR="00001463">
        <w:t xml:space="preserve"> geschrieben</w:t>
      </w:r>
      <w:r>
        <w:t xml:space="preserve"> (also z.</w:t>
      </w:r>
      <w:r w:rsidR="00001463">
        <w:t> </w:t>
      </w:r>
      <w:r>
        <w:t xml:space="preserve">B. </w:t>
      </w:r>
      <w:proofErr w:type="spellStart"/>
      <w:r>
        <w:t>AaBb</w:t>
      </w:r>
      <w:proofErr w:type="spellEnd"/>
      <w:r>
        <w:t xml:space="preserve"> und </w:t>
      </w:r>
      <w:r w:rsidRPr="00001463">
        <w:rPr>
          <w:u w:val="single"/>
        </w:rPr>
        <w:t>nicht</w:t>
      </w:r>
      <w:r>
        <w:t xml:space="preserve"> </w:t>
      </w:r>
      <w:proofErr w:type="spellStart"/>
      <w:r>
        <w:t>ABab</w:t>
      </w:r>
      <w:proofErr w:type="spellEnd"/>
      <w:r>
        <w:t>).</w:t>
      </w:r>
    </w:p>
    <w:p w14:paraId="25AC8605" w14:textId="77777777" w:rsidR="00C81FBB" w:rsidRDefault="00EC7413">
      <w:r>
        <w:t>Wer mit Informatik gut klar kommt, kann folgende Analogie verwenden:</w:t>
      </w:r>
    </w:p>
    <w:p w14:paraId="669E4674" w14:textId="77777777" w:rsidR="00C81FBB" w:rsidRDefault="00C81FB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961"/>
      </w:tblGrid>
      <w:tr w:rsidR="00C81FBB" w:rsidRPr="00EC7413" w14:paraId="39F2DEA3" w14:textId="77777777" w:rsidTr="00001463">
        <w:tc>
          <w:tcPr>
            <w:tcW w:w="4815" w:type="dxa"/>
            <w:shd w:val="clear" w:color="auto" w:fill="auto"/>
          </w:tcPr>
          <w:p w14:paraId="6101CBC5" w14:textId="77777777" w:rsidR="00C81FBB" w:rsidRPr="00EC7413" w:rsidRDefault="00EC7413" w:rsidP="00EC7413">
            <w:pPr>
              <w:jc w:val="center"/>
              <w:rPr>
                <w:rFonts w:ascii="Arial" w:hAnsi="Arial" w:cs="Arial"/>
                <w:b/>
              </w:rPr>
            </w:pPr>
            <w:r w:rsidRPr="00EC7413">
              <w:rPr>
                <w:rFonts w:ascii="Arial" w:hAnsi="Arial" w:cs="Arial"/>
                <w:b/>
              </w:rPr>
              <w:t>Informatik</w:t>
            </w:r>
          </w:p>
        </w:tc>
        <w:tc>
          <w:tcPr>
            <w:tcW w:w="4961" w:type="dxa"/>
            <w:shd w:val="clear" w:color="auto" w:fill="auto"/>
          </w:tcPr>
          <w:p w14:paraId="1CF33988" w14:textId="77777777" w:rsidR="00C81FBB" w:rsidRPr="00EC7413" w:rsidRDefault="00EC7413" w:rsidP="00EC7413">
            <w:pPr>
              <w:jc w:val="center"/>
              <w:rPr>
                <w:rFonts w:ascii="Arial" w:hAnsi="Arial" w:cs="Arial"/>
                <w:b/>
              </w:rPr>
            </w:pPr>
            <w:r w:rsidRPr="00EC7413">
              <w:rPr>
                <w:rFonts w:ascii="Arial" w:hAnsi="Arial" w:cs="Arial"/>
                <w:b/>
              </w:rPr>
              <w:t>Klassische Genetik</w:t>
            </w:r>
          </w:p>
        </w:tc>
      </w:tr>
      <w:tr w:rsidR="00C81FBB" w:rsidRPr="00EC7413" w14:paraId="3FA81830" w14:textId="77777777" w:rsidTr="00001463">
        <w:tc>
          <w:tcPr>
            <w:tcW w:w="4815" w:type="dxa"/>
            <w:shd w:val="clear" w:color="auto" w:fill="auto"/>
          </w:tcPr>
          <w:p w14:paraId="3553F0F3" w14:textId="77777777" w:rsidR="00C81FBB" w:rsidRPr="00EC7413" w:rsidRDefault="00EC7413" w:rsidP="00EC7413">
            <w:pPr>
              <w:jc w:val="both"/>
              <w:rPr>
                <w:rFonts w:ascii="Arial" w:hAnsi="Arial" w:cs="Arial"/>
              </w:rPr>
            </w:pPr>
            <w:r w:rsidRPr="00EC7413">
              <w:rPr>
                <w:rFonts w:ascii="Arial" w:hAnsi="Arial" w:cs="Arial"/>
              </w:rPr>
              <w:t xml:space="preserve">das </w:t>
            </w:r>
            <w:r w:rsidRPr="00EC7413">
              <w:rPr>
                <w:rFonts w:ascii="Arial" w:hAnsi="Arial" w:cs="Arial"/>
                <w:b/>
              </w:rPr>
              <w:t>Attribut</w:t>
            </w:r>
          </w:p>
          <w:p w14:paraId="704F7D08" w14:textId="77777777" w:rsidR="00C81FBB" w:rsidRPr="00EC7413" w:rsidRDefault="00EC7413" w:rsidP="00EC7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413">
              <w:rPr>
                <w:rFonts w:ascii="Arial" w:hAnsi="Arial" w:cs="Arial"/>
                <w:sz w:val="22"/>
                <w:szCs w:val="22"/>
              </w:rPr>
              <w:t>in der Objektklasse Rechteck gibt es z.B. die Attribute Breite, Randlinienstärke oder Füll-farbe; für Zeichen in der Textverarbeitung gibt es das Attribut „kursiv“</w:t>
            </w:r>
          </w:p>
        </w:tc>
        <w:tc>
          <w:tcPr>
            <w:tcW w:w="4961" w:type="dxa"/>
            <w:shd w:val="clear" w:color="auto" w:fill="auto"/>
          </w:tcPr>
          <w:p w14:paraId="347C852E" w14:textId="77777777" w:rsidR="00C81FBB" w:rsidRPr="00EC7413" w:rsidRDefault="00EC7413" w:rsidP="00EC7413">
            <w:pPr>
              <w:jc w:val="both"/>
              <w:rPr>
                <w:rFonts w:ascii="Arial" w:hAnsi="Arial" w:cs="Arial"/>
              </w:rPr>
            </w:pPr>
            <w:r w:rsidRPr="00EC7413">
              <w:rPr>
                <w:rFonts w:ascii="Arial" w:hAnsi="Arial" w:cs="Arial"/>
              </w:rPr>
              <w:t xml:space="preserve">das </w:t>
            </w:r>
            <w:r w:rsidRPr="00EC7413">
              <w:rPr>
                <w:rFonts w:ascii="Arial" w:hAnsi="Arial" w:cs="Arial"/>
                <w:b/>
              </w:rPr>
              <w:t>Gen</w:t>
            </w:r>
          </w:p>
          <w:p w14:paraId="280E177F" w14:textId="22F1F36E" w:rsidR="00C81FBB" w:rsidRPr="00EC7413" w:rsidRDefault="00EC7413" w:rsidP="00EC7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413">
              <w:rPr>
                <w:rFonts w:ascii="Arial" w:hAnsi="Arial" w:cs="Arial"/>
                <w:sz w:val="22"/>
                <w:szCs w:val="22"/>
              </w:rPr>
              <w:t>z.</w:t>
            </w:r>
            <w:r w:rsidR="00001463">
              <w:rPr>
                <w:rFonts w:ascii="Arial" w:hAnsi="Arial" w:cs="Arial"/>
                <w:sz w:val="22"/>
                <w:szCs w:val="22"/>
              </w:rPr>
              <w:t> </w:t>
            </w:r>
            <w:r w:rsidRPr="00EC7413">
              <w:rPr>
                <w:rFonts w:ascii="Arial" w:hAnsi="Arial" w:cs="Arial"/>
                <w:sz w:val="22"/>
                <w:szCs w:val="22"/>
              </w:rPr>
              <w:t>B. das Gen „</w:t>
            </w:r>
            <w:proofErr w:type="spellStart"/>
            <w:r w:rsidRPr="00EC7413">
              <w:rPr>
                <w:rFonts w:ascii="Arial" w:hAnsi="Arial" w:cs="Arial"/>
                <w:sz w:val="22"/>
                <w:szCs w:val="22"/>
              </w:rPr>
              <w:t>white</w:t>
            </w:r>
            <w:proofErr w:type="spellEnd"/>
            <w:r w:rsidRPr="00EC7413">
              <w:rPr>
                <w:rFonts w:ascii="Arial" w:hAnsi="Arial" w:cs="Arial"/>
                <w:sz w:val="22"/>
                <w:szCs w:val="22"/>
              </w:rPr>
              <w:t>“ bei Drosophila, das ein Protein codiert, welches für die rote Augenfarbe zuständig ist; beim Menschen gibt es ein Gen für die Hauptblutgruppen</w:t>
            </w:r>
            <w:r w:rsidR="00001463">
              <w:rPr>
                <w:rFonts w:ascii="Arial" w:hAnsi="Arial" w:cs="Arial"/>
                <w:sz w:val="22"/>
                <w:szCs w:val="22"/>
              </w:rPr>
              <w:t xml:space="preserve"> des AB0-Systems</w:t>
            </w:r>
          </w:p>
        </w:tc>
      </w:tr>
      <w:tr w:rsidR="00C81FBB" w:rsidRPr="00EC7413" w14:paraId="0D7DAAAC" w14:textId="77777777" w:rsidTr="00001463">
        <w:tc>
          <w:tcPr>
            <w:tcW w:w="4815" w:type="dxa"/>
            <w:shd w:val="clear" w:color="auto" w:fill="auto"/>
          </w:tcPr>
          <w:p w14:paraId="2EB4B3FE" w14:textId="77777777" w:rsidR="00C81FBB" w:rsidRPr="00EC7413" w:rsidRDefault="00EC7413" w:rsidP="00EC7413">
            <w:pPr>
              <w:jc w:val="both"/>
              <w:rPr>
                <w:rFonts w:ascii="Arial" w:hAnsi="Arial" w:cs="Arial"/>
              </w:rPr>
            </w:pPr>
            <w:r w:rsidRPr="00EC7413">
              <w:rPr>
                <w:rFonts w:ascii="Arial" w:hAnsi="Arial" w:cs="Arial"/>
              </w:rPr>
              <w:t xml:space="preserve">der </w:t>
            </w:r>
            <w:r w:rsidRPr="00EC7413">
              <w:rPr>
                <w:rFonts w:ascii="Arial" w:hAnsi="Arial" w:cs="Arial"/>
                <w:b/>
              </w:rPr>
              <w:t>Attributwert</w:t>
            </w:r>
          </w:p>
          <w:p w14:paraId="6569E6D8" w14:textId="1E82BBFB" w:rsidR="00C81FBB" w:rsidRPr="00EC7413" w:rsidRDefault="00EC7413" w:rsidP="00EC7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413">
              <w:rPr>
                <w:rFonts w:ascii="Arial" w:hAnsi="Arial" w:cs="Arial"/>
                <w:sz w:val="22"/>
                <w:szCs w:val="22"/>
              </w:rPr>
              <w:t>z.</w:t>
            </w:r>
            <w:r w:rsidR="00001463">
              <w:rPr>
                <w:rFonts w:ascii="Arial" w:hAnsi="Arial" w:cs="Arial"/>
                <w:sz w:val="22"/>
                <w:szCs w:val="22"/>
              </w:rPr>
              <w:t> </w:t>
            </w:r>
            <w:r w:rsidRPr="00EC7413">
              <w:rPr>
                <w:rFonts w:ascii="Arial" w:hAnsi="Arial" w:cs="Arial"/>
                <w:sz w:val="22"/>
                <w:szCs w:val="22"/>
              </w:rPr>
              <w:t>B. kann die Breite des Rechtecks 4,3 cm be</w:t>
            </w:r>
            <w:r w:rsidR="00001463">
              <w:rPr>
                <w:rFonts w:ascii="Arial" w:hAnsi="Arial" w:cs="Arial"/>
                <w:sz w:val="22"/>
                <w:szCs w:val="22"/>
              </w:rPr>
              <w:softHyphen/>
            </w:r>
            <w:r w:rsidRPr="00EC7413">
              <w:rPr>
                <w:rFonts w:ascii="Arial" w:hAnsi="Arial" w:cs="Arial"/>
                <w:sz w:val="22"/>
                <w:szCs w:val="22"/>
              </w:rPr>
              <w:t>tragen oder 7,8 cm</w:t>
            </w:r>
          </w:p>
          <w:p w14:paraId="2AC9E8ED" w14:textId="77777777" w:rsidR="00C81FBB" w:rsidRPr="00EC7413" w:rsidRDefault="00EC7413" w:rsidP="00EC74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413">
              <w:rPr>
                <w:rFonts w:ascii="Arial" w:hAnsi="Arial" w:cs="Arial"/>
                <w:sz w:val="22"/>
                <w:szCs w:val="22"/>
              </w:rPr>
              <w:t>das Attribut „kursiv“ hat zwei Attributwerte: „kursiv“ und „nicht kursiv“</w:t>
            </w:r>
          </w:p>
        </w:tc>
        <w:tc>
          <w:tcPr>
            <w:tcW w:w="4961" w:type="dxa"/>
            <w:shd w:val="clear" w:color="auto" w:fill="auto"/>
          </w:tcPr>
          <w:p w14:paraId="1EF99AA0" w14:textId="77777777" w:rsidR="00C81FBB" w:rsidRPr="00EC7413" w:rsidRDefault="00EC7413" w:rsidP="00EC7413">
            <w:pPr>
              <w:jc w:val="both"/>
              <w:rPr>
                <w:rFonts w:ascii="Arial" w:hAnsi="Arial" w:cs="Arial"/>
              </w:rPr>
            </w:pPr>
            <w:r w:rsidRPr="00EC7413">
              <w:rPr>
                <w:rFonts w:ascii="Arial" w:hAnsi="Arial" w:cs="Arial"/>
              </w:rPr>
              <w:t xml:space="preserve">das </w:t>
            </w:r>
            <w:r w:rsidRPr="00EC7413">
              <w:rPr>
                <w:rFonts w:ascii="Arial" w:hAnsi="Arial" w:cs="Arial"/>
                <w:b/>
              </w:rPr>
              <w:t>Allel</w:t>
            </w:r>
          </w:p>
          <w:p w14:paraId="68ADAD63" w14:textId="12C906D9" w:rsidR="00C81FBB" w:rsidRPr="00EC7413" w:rsidRDefault="00EC7413" w:rsidP="00EC7413">
            <w:pPr>
              <w:tabs>
                <w:tab w:val="left" w:pos="9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413">
              <w:rPr>
                <w:rFonts w:ascii="Arial" w:hAnsi="Arial" w:cs="Arial"/>
                <w:sz w:val="22"/>
                <w:szCs w:val="22"/>
              </w:rPr>
              <w:t>Vom Drosophila-Gen „</w:t>
            </w:r>
            <w:proofErr w:type="spellStart"/>
            <w:r w:rsidRPr="00EC7413">
              <w:rPr>
                <w:rFonts w:ascii="Arial" w:hAnsi="Arial" w:cs="Arial"/>
                <w:sz w:val="22"/>
                <w:szCs w:val="22"/>
              </w:rPr>
              <w:t>white</w:t>
            </w:r>
            <w:proofErr w:type="spellEnd"/>
            <w:r w:rsidRPr="00EC7413">
              <w:rPr>
                <w:rFonts w:ascii="Arial" w:hAnsi="Arial" w:cs="Arial"/>
                <w:sz w:val="22"/>
                <w:szCs w:val="22"/>
              </w:rPr>
              <w:t xml:space="preserve">“ </w:t>
            </w:r>
            <w:r w:rsidR="00001463">
              <w:rPr>
                <w:rFonts w:ascii="Arial" w:hAnsi="Arial" w:cs="Arial"/>
                <w:sz w:val="22"/>
                <w:szCs w:val="22"/>
              </w:rPr>
              <w:t>sind 2</w:t>
            </w:r>
            <w:r w:rsidRPr="00EC7413">
              <w:rPr>
                <w:rFonts w:ascii="Arial" w:hAnsi="Arial" w:cs="Arial"/>
                <w:sz w:val="22"/>
                <w:szCs w:val="22"/>
              </w:rPr>
              <w:t xml:space="preserve"> Allele</w:t>
            </w:r>
            <w:r w:rsidR="00001463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001463">
              <w:rPr>
                <w:rFonts w:ascii="Arial" w:hAnsi="Arial" w:cs="Arial"/>
                <w:sz w:val="22"/>
                <w:szCs w:val="22"/>
              </w:rPr>
              <w:softHyphen/>
              <w:t>kannt</w:t>
            </w:r>
            <w:r w:rsidRPr="00EC7413">
              <w:rPr>
                <w:rFonts w:ascii="Arial" w:hAnsi="Arial" w:cs="Arial"/>
                <w:sz w:val="22"/>
                <w:szCs w:val="22"/>
              </w:rPr>
              <w:t>: „</w:t>
            </w:r>
            <w:proofErr w:type="spellStart"/>
            <w:r w:rsidRPr="00EC7413">
              <w:rPr>
                <w:rFonts w:ascii="Arial" w:hAnsi="Arial" w:cs="Arial"/>
                <w:sz w:val="22"/>
                <w:szCs w:val="22"/>
              </w:rPr>
              <w:t>white</w:t>
            </w:r>
            <w:proofErr w:type="spellEnd"/>
            <w:r w:rsidRPr="00EC7413">
              <w:rPr>
                <w:rFonts w:ascii="Arial" w:hAnsi="Arial" w:cs="Arial"/>
                <w:sz w:val="22"/>
                <w:szCs w:val="22"/>
              </w:rPr>
              <w:t>“ und „Wildtyp“;</w:t>
            </w:r>
          </w:p>
          <w:p w14:paraId="69E190D2" w14:textId="16AC43FD" w:rsidR="00C81FBB" w:rsidRPr="00EC7413" w:rsidRDefault="00EC7413" w:rsidP="00EC7413">
            <w:pPr>
              <w:tabs>
                <w:tab w:val="left" w:pos="9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413">
              <w:rPr>
                <w:rFonts w:ascii="Arial" w:hAnsi="Arial" w:cs="Arial"/>
                <w:sz w:val="22"/>
                <w:szCs w:val="22"/>
              </w:rPr>
              <w:t xml:space="preserve">Vom Gen für die Hauptblutgruppen </w:t>
            </w:r>
            <w:r w:rsidR="00001463">
              <w:rPr>
                <w:rFonts w:ascii="Arial" w:hAnsi="Arial" w:cs="Arial"/>
                <w:sz w:val="22"/>
                <w:szCs w:val="22"/>
              </w:rPr>
              <w:t>sind 3</w:t>
            </w:r>
            <w:r w:rsidRPr="00EC7413">
              <w:rPr>
                <w:rFonts w:ascii="Arial" w:hAnsi="Arial" w:cs="Arial"/>
                <w:sz w:val="22"/>
                <w:szCs w:val="22"/>
              </w:rPr>
              <w:t xml:space="preserve"> Allele </w:t>
            </w:r>
            <w:r w:rsidR="00001463">
              <w:rPr>
                <w:rFonts w:ascii="Arial" w:hAnsi="Arial" w:cs="Arial"/>
                <w:sz w:val="22"/>
                <w:szCs w:val="22"/>
              </w:rPr>
              <w:t xml:space="preserve">bekannt: </w:t>
            </w:r>
            <w:r w:rsidRPr="00EC7413">
              <w:rPr>
                <w:rFonts w:ascii="Arial" w:hAnsi="Arial" w:cs="Arial"/>
                <w:sz w:val="22"/>
                <w:szCs w:val="22"/>
              </w:rPr>
              <w:t>A, B und 0.</w:t>
            </w:r>
          </w:p>
        </w:tc>
      </w:tr>
    </w:tbl>
    <w:p w14:paraId="29094EEB" w14:textId="77777777" w:rsidR="00C81FBB" w:rsidRDefault="00C81FBB">
      <w:pPr>
        <w:rPr>
          <w:b/>
        </w:rPr>
      </w:pPr>
    </w:p>
    <w:p w14:paraId="65255D51" w14:textId="77777777" w:rsidR="00C81FBB" w:rsidRDefault="00C81FBB">
      <w:pPr>
        <w:jc w:val="both"/>
      </w:pPr>
    </w:p>
    <w:p w14:paraId="6579E55C" w14:textId="77777777" w:rsidR="00C81FBB" w:rsidRDefault="00EC7413" w:rsidP="00770D77">
      <w:pPr>
        <w:spacing w:after="120"/>
        <w:jc w:val="both"/>
      </w:pPr>
      <w:r>
        <w:rPr>
          <w:b/>
        </w:rPr>
        <w:t>Kreuzungsmethode von Gregor Mendel</w:t>
      </w:r>
      <w:r>
        <w:t xml:space="preserve"> (1822-1884):</w:t>
      </w:r>
    </w:p>
    <w:p w14:paraId="09123094" w14:textId="3705A131" w:rsidR="00C81FBB" w:rsidRDefault="00EC7413">
      <w:pPr>
        <w:jc w:val="both"/>
        <w:rPr>
          <w:sz w:val="22"/>
          <w:szCs w:val="22"/>
        </w:rPr>
      </w:pPr>
      <w:r>
        <w:t xml:space="preserve">Im </w:t>
      </w:r>
      <w:r w:rsidR="00770D77">
        <w:t>März</w:t>
      </w:r>
      <w:r>
        <w:t xml:space="preserve"> </w:t>
      </w:r>
      <w:r w:rsidR="00770D77">
        <w:t>werden</w:t>
      </w:r>
      <w:r>
        <w:t xml:space="preserve"> die kugeligen Erbsensamen in die Erde</w:t>
      </w:r>
      <w:r w:rsidR="00770D77">
        <w:t xml:space="preserve"> gesteckt</w:t>
      </w:r>
      <w:r>
        <w:t xml:space="preserve">; die Pflanzen keimen dann und wachsen heran. Im Mai und Juni blühen die Erbsenpflanzen, wobei eine einzelne Blüte rund drei Tage lang blüht. </w:t>
      </w:r>
      <w:r w:rsidR="00770D77">
        <w:t>Erbsenblüten sind zwittrig, d. h. sie enthalten sowohl männliche Geschlechtsorgane (die Staubblätter</w:t>
      </w:r>
      <w:r w:rsidR="009C4076">
        <w:t>, die den Pollen erzeugen</w:t>
      </w:r>
      <w:r w:rsidR="00770D77">
        <w:t>)</w:t>
      </w:r>
      <w:r w:rsidR="009C4076">
        <w:t xml:space="preserve"> als auch ein weibliches (den Stempel, der in seinem Frucht</w:t>
      </w:r>
      <w:r w:rsidR="009C4076">
        <w:softHyphen/>
        <w:t>knoten Eizellen erzeugt</w:t>
      </w:r>
      <w:r w:rsidR="00A84625">
        <w:t>; den obersten Teil bildet die klebrige Narbe, an der Pollenkörner hängen bleiben können</w:t>
      </w:r>
      <w:r w:rsidR="009C4076">
        <w:t>).</w:t>
      </w:r>
      <w:r w:rsidR="00770D77">
        <w:t xml:space="preserve"> </w:t>
      </w:r>
      <w:r>
        <w:t>Erbsen sind Selbstbestäuber, d.</w:t>
      </w:r>
      <w:r w:rsidR="00770D77">
        <w:t> </w:t>
      </w:r>
      <w:r>
        <w:t>h. wenn der Pollen (enthält die Spermien</w:t>
      </w:r>
      <w:r w:rsidR="009C4076">
        <w:softHyphen/>
      </w:r>
      <w:r>
        <w:t>zellen), der von den Staubblättern gebildet wird, auf die Narbe des Stempels gelangt, kommt es zu einer erfolg</w:t>
      </w:r>
      <w:r w:rsidR="00A84625">
        <w:softHyphen/>
      </w:r>
      <w:r>
        <w:t>rei</w:t>
      </w:r>
      <w:r w:rsidR="00A84625">
        <w:softHyphen/>
      </w:r>
      <w:r>
        <w:t xml:space="preserve">chen Befruchtung der Eizellen in den Samenanlagen im unteren Teil des Stempels (dem Fruchtknoten). </w:t>
      </w:r>
      <w:r>
        <w:rPr>
          <w:i/>
          <w:sz w:val="22"/>
          <w:szCs w:val="22"/>
        </w:rPr>
        <w:t>[</w:t>
      </w:r>
      <w:r>
        <w:rPr>
          <w:i/>
          <w:sz w:val="22"/>
          <w:szCs w:val="22"/>
          <w:u w:val="single"/>
        </w:rPr>
        <w:t>Bestäubung</w:t>
      </w:r>
      <w:r>
        <w:rPr>
          <w:i/>
          <w:sz w:val="22"/>
          <w:szCs w:val="22"/>
        </w:rPr>
        <w:t xml:space="preserve">: Pollen gelangt auf die Narbe des Stempels; </w:t>
      </w:r>
      <w:r>
        <w:rPr>
          <w:i/>
          <w:sz w:val="22"/>
          <w:szCs w:val="22"/>
          <w:u w:val="single"/>
        </w:rPr>
        <w:t>Befruchtung</w:t>
      </w:r>
      <w:r>
        <w:rPr>
          <w:i/>
          <w:sz w:val="22"/>
          <w:szCs w:val="22"/>
        </w:rPr>
        <w:t xml:space="preserve">: </w:t>
      </w:r>
      <w:r w:rsidR="00770D77">
        <w:rPr>
          <w:i/>
          <w:sz w:val="22"/>
          <w:szCs w:val="22"/>
        </w:rPr>
        <w:t xml:space="preserve">Die Kerne von </w:t>
      </w:r>
      <w:r>
        <w:rPr>
          <w:i/>
          <w:sz w:val="22"/>
          <w:szCs w:val="22"/>
        </w:rPr>
        <w:t>Spermienzelle und Eizelle verschmelzen zur Zygote.]</w:t>
      </w:r>
    </w:p>
    <w:p w14:paraId="19DE5943" w14:textId="11BE66D0" w:rsidR="00C81FBB" w:rsidRDefault="00EC7413" w:rsidP="00770D77">
      <w:pPr>
        <w:spacing w:before="120"/>
        <w:jc w:val="both"/>
      </w:pPr>
      <w:r>
        <w:t>Um Kreuzungsversuche durchzuführen, muss die natürliche Bestäubung verhinder</w:t>
      </w:r>
      <w:r w:rsidR="00770D77">
        <w:t>t werden</w:t>
      </w:r>
      <w:r>
        <w:t>. Bei den</w:t>
      </w:r>
      <w:r w:rsidR="00770D77">
        <w:t>jenigen</w:t>
      </w:r>
      <w:r>
        <w:t xml:space="preserve"> Blüten der P-Generation, welche die Eizellen stellen sollen (Mutterpflanze), </w:t>
      </w:r>
      <w:r w:rsidR="00770D77">
        <w:t>werden</w:t>
      </w:r>
      <w:r>
        <w:t xml:space="preserve"> des</w:t>
      </w:r>
      <w:r w:rsidR="00770D77">
        <w:softHyphen/>
      </w:r>
      <w:r>
        <w:t>halb alle Staubblätter</w:t>
      </w:r>
      <w:r w:rsidR="00770D77">
        <w:t xml:space="preserve"> entfernt</w:t>
      </w:r>
      <w:r>
        <w:t xml:space="preserve">, bevor der Pollen reift, und schützt sie mit einer kleinen Papiertüte, damit </w:t>
      </w:r>
      <w:r w:rsidR="00A84625">
        <w:t>weder durch Wind, noch durch</w:t>
      </w:r>
      <w:r>
        <w:t xml:space="preserve"> Insekten unkontrolliert Pollen auf die Narbe </w:t>
      </w:r>
      <w:r w:rsidR="00A84625">
        <w:t>gelangen kann</w:t>
      </w:r>
      <w:r>
        <w:t>. Sobald der Stempel reif für eine Bestäubung ist, reißt man aus einer Blüte der anderen Rasse (Vaterpflanze der P-Generation) die Staubblätter aus und fährt damit über die Narbe der geschützten Blüte, um sie gezielt zu bestäuben.</w:t>
      </w:r>
    </w:p>
    <w:p w14:paraId="45FCC782" w14:textId="54908701" w:rsidR="00C81FBB" w:rsidRDefault="00EC7413" w:rsidP="00A84625">
      <w:pPr>
        <w:spacing w:after="120"/>
        <w:jc w:val="both"/>
      </w:pPr>
      <w:r>
        <w:t>In den nächsten Wochen wachsen die Samenanlagen zu Samen heran, der Fruchtknoten entwickelt sich zur Frucht (</w:t>
      </w:r>
      <w:r w:rsidR="00D50EF0">
        <w:t>Hülsenfrucht</w:t>
      </w:r>
      <w:r>
        <w:t xml:space="preserve">). </w:t>
      </w:r>
      <w:r w:rsidR="00A84625">
        <w:t>Die</w:t>
      </w:r>
      <w:r>
        <w:t xml:space="preserve"> </w:t>
      </w:r>
      <w:r w:rsidR="00D50EF0">
        <w:t>Früchte</w:t>
      </w:r>
      <w:r w:rsidR="00A84625">
        <w:t xml:space="preserve"> werden geerntet</w:t>
      </w:r>
      <w:r>
        <w:t>, die Samen heraus</w:t>
      </w:r>
      <w:r w:rsidR="00A84625">
        <w:t>genommen</w:t>
      </w:r>
      <w:r>
        <w:t xml:space="preserve"> und aus</w:t>
      </w:r>
      <w:r w:rsidR="00A84625">
        <w:t>gezählt (z. B. wie viele Erbsensamen haben eine gelbe bzw. grüne Samenschale). E</w:t>
      </w:r>
      <w:r>
        <w:t>in Teil der Erbsensamen dieser F</w:t>
      </w:r>
      <w:r>
        <w:rPr>
          <w:vertAlign w:val="subscript"/>
        </w:rPr>
        <w:t>1</w:t>
      </w:r>
      <w:r>
        <w:t>-Generation</w:t>
      </w:r>
      <w:r w:rsidR="00A84625">
        <w:t xml:space="preserve"> wird auf</w:t>
      </w:r>
      <w:r>
        <w:t xml:space="preserve">bewahrt, um sie im </w:t>
      </w:r>
      <w:r w:rsidR="00A84625">
        <w:t>März des Folgejahrs</w:t>
      </w:r>
      <w:r>
        <w:t xml:space="preserve"> wieder auszusäen und untereinander zu kreuzen; im Sommer </w:t>
      </w:r>
      <w:r w:rsidR="00A84625">
        <w:t xml:space="preserve">werden </w:t>
      </w:r>
      <w:r>
        <w:t>dann die Samen der F</w:t>
      </w:r>
      <w:r>
        <w:rPr>
          <w:vertAlign w:val="subscript"/>
        </w:rPr>
        <w:t>2</w:t>
      </w:r>
      <w:r>
        <w:t xml:space="preserve">-Generation </w:t>
      </w:r>
      <w:r w:rsidR="00A84625">
        <w:t>geerntet und ausge</w:t>
      </w:r>
      <w:r w:rsidR="00A84625">
        <w:softHyphen/>
        <w:t>zählt</w:t>
      </w:r>
      <w:r>
        <w:t>.</w:t>
      </w:r>
    </w:p>
    <w:p w14:paraId="0D7EAFCE" w14:textId="78CB6964" w:rsidR="00EC7413" w:rsidRDefault="00EC7413">
      <w:pPr>
        <w:jc w:val="both"/>
      </w:pPr>
      <w:r>
        <w:t xml:space="preserve">Zwischen 1856 und 1863 kultivierte Gregor Mendel </w:t>
      </w:r>
      <w:r w:rsidR="00A84625">
        <w:t xml:space="preserve">nach dieser Methode </w:t>
      </w:r>
      <w:r>
        <w:t xml:space="preserve">schätzungsweise 28.000 Erbsenpflanzen. 1866 publizierte er seine </w:t>
      </w:r>
      <w:r>
        <w:rPr>
          <w:i/>
          <w:iCs/>
        </w:rPr>
        <w:t>Versuche über Pflanzenhybriden</w:t>
      </w:r>
      <w:r>
        <w:t>, die aber in der Fachwelt kaum beachtet wurden.</w:t>
      </w:r>
    </w:p>
    <w:p w14:paraId="4BCE2348" w14:textId="3E2C5CA5" w:rsidR="00774453" w:rsidRDefault="00774453">
      <w:pPr>
        <w:jc w:val="both"/>
      </w:pPr>
    </w:p>
    <w:p w14:paraId="22499021" w14:textId="070FDC62" w:rsidR="00001463" w:rsidRDefault="00001463">
      <w:pPr>
        <w:jc w:val="both"/>
      </w:pPr>
    </w:p>
    <w:p w14:paraId="06865719" w14:textId="6AC81619" w:rsidR="00B15FD1" w:rsidRDefault="00B15FD1">
      <w:pPr>
        <w:jc w:val="both"/>
      </w:pPr>
    </w:p>
    <w:p w14:paraId="1904A9E1" w14:textId="62F5ECAF" w:rsidR="00B15FD1" w:rsidRDefault="00B15FD1">
      <w:pPr>
        <w:jc w:val="both"/>
      </w:pPr>
    </w:p>
    <w:p w14:paraId="0F85EE83" w14:textId="201BD183" w:rsidR="00B15FD1" w:rsidRDefault="00B15FD1">
      <w:pPr>
        <w:jc w:val="both"/>
      </w:pPr>
    </w:p>
    <w:p w14:paraId="664151B9" w14:textId="72E91CD1" w:rsidR="00B15FD1" w:rsidRDefault="00B15FD1">
      <w:pPr>
        <w:jc w:val="both"/>
      </w:pPr>
    </w:p>
    <w:p w14:paraId="74036C5E" w14:textId="42614876" w:rsidR="00B15FD1" w:rsidRDefault="00B15FD1">
      <w:pPr>
        <w:jc w:val="both"/>
      </w:pPr>
    </w:p>
    <w:p w14:paraId="2925A984" w14:textId="77777777" w:rsidR="00B15FD1" w:rsidRDefault="00B15FD1">
      <w:pPr>
        <w:jc w:val="both"/>
      </w:pPr>
      <w:bookmarkStart w:id="0" w:name="_GoBack"/>
      <w:bookmarkEnd w:id="0"/>
    </w:p>
    <w:p w14:paraId="1F31E36C" w14:textId="51FC4EFD" w:rsidR="00A84625" w:rsidRPr="004F02DC" w:rsidRDefault="00A84625" w:rsidP="004F02DC">
      <w:pPr>
        <w:jc w:val="right"/>
        <w:rPr>
          <w:sz w:val="20"/>
          <w:szCs w:val="20"/>
        </w:rPr>
      </w:pPr>
      <w:r w:rsidRPr="004F02DC">
        <w:rPr>
          <w:sz w:val="20"/>
          <w:szCs w:val="20"/>
        </w:rPr>
        <w:t xml:space="preserve">Nickl, </w:t>
      </w:r>
      <w:r w:rsidR="004F02DC" w:rsidRPr="004F02DC">
        <w:rPr>
          <w:sz w:val="20"/>
          <w:szCs w:val="20"/>
        </w:rPr>
        <w:t>2015, überarbeitet im Dez. 2019</w:t>
      </w:r>
    </w:p>
    <w:sectPr w:rsidR="00A84625" w:rsidRPr="004F02DC">
      <w:pgSz w:w="11906" w:h="16838"/>
      <w:pgMar w:top="96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CE"/>
    <w:rsid w:val="00001463"/>
    <w:rsid w:val="003C2D93"/>
    <w:rsid w:val="004F02DC"/>
    <w:rsid w:val="006D6657"/>
    <w:rsid w:val="00770D77"/>
    <w:rsid w:val="00774453"/>
    <w:rsid w:val="00846DCE"/>
    <w:rsid w:val="00960B37"/>
    <w:rsid w:val="009C4076"/>
    <w:rsid w:val="00A84625"/>
    <w:rsid w:val="00AF2B4D"/>
    <w:rsid w:val="00B15FD1"/>
    <w:rsid w:val="00B62AC6"/>
    <w:rsid w:val="00C81FBB"/>
    <w:rsid w:val="00D50EF0"/>
    <w:rsid w:val="00EC7413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C4FA9"/>
  <w15:docId w15:val="{22D6B4B9-9E12-41D0-9606-2C5F3A08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Klassische Genetik Begriffe / Nickl 3</vt:lpstr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Klassische Genetik Begriffe / Nickl 3</dc:title>
  <dc:creator>Thomas Nickl</dc:creator>
  <cp:lastModifiedBy>Thomas Nickl</cp:lastModifiedBy>
  <cp:revision>11</cp:revision>
  <dcterms:created xsi:type="dcterms:W3CDTF">2019-12-16T18:39:00Z</dcterms:created>
  <dcterms:modified xsi:type="dcterms:W3CDTF">2019-12-28T15:23:00Z</dcterms:modified>
</cp:coreProperties>
</file>