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99D25" w14:textId="7FF9740D" w:rsidR="00DE7A5C" w:rsidRPr="00A521CF" w:rsidRDefault="00A521CF" w:rsidP="00A521C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521CF">
        <w:rPr>
          <w:rFonts w:ascii="Arial" w:hAnsi="Arial" w:cs="Arial"/>
          <w:b/>
          <w:bCs/>
          <w:sz w:val="32"/>
          <w:szCs w:val="32"/>
        </w:rPr>
        <w:t>Membranpotentiale bei der Schlamm</w:t>
      </w:r>
      <w:r>
        <w:rPr>
          <w:rFonts w:ascii="Arial" w:hAnsi="Arial" w:cs="Arial"/>
          <w:b/>
          <w:bCs/>
          <w:sz w:val="32"/>
          <w:szCs w:val="32"/>
        </w:rPr>
        <w:t>biene</w:t>
      </w:r>
    </w:p>
    <w:p w14:paraId="3AE98D75" w14:textId="77777777" w:rsidR="00A521CF" w:rsidRPr="00A521CF" w:rsidRDefault="00A521CF">
      <w:pPr>
        <w:rPr>
          <w:rFonts w:ascii="Arial" w:hAnsi="Arial" w:cs="Arial"/>
          <w:sz w:val="22"/>
          <w:szCs w:val="22"/>
        </w:rPr>
      </w:pPr>
    </w:p>
    <w:p w14:paraId="1CD2F363" w14:textId="77777777" w:rsidR="00C50B38" w:rsidRDefault="00A521CF" w:rsidP="009322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Schlammbiene (</w:t>
      </w:r>
      <w:r w:rsidRPr="00A521CF">
        <w:rPr>
          <w:rFonts w:ascii="Arial" w:hAnsi="Arial" w:cs="Arial"/>
          <w:i/>
          <w:sz w:val="22"/>
          <w:szCs w:val="22"/>
        </w:rPr>
        <w:t>Eristalix tenax</w:t>
      </w:r>
      <w:r>
        <w:rPr>
          <w:rFonts w:ascii="Arial" w:hAnsi="Arial" w:cs="Arial"/>
          <w:sz w:val="22"/>
          <w:szCs w:val="22"/>
        </w:rPr>
        <w:t xml:space="preserve">) ist eine große Schwebfliege, die durch zwei gelbe Flecken am Hinterleib eine Biene nachahmt, </w:t>
      </w:r>
      <w:r w:rsidR="00932266">
        <w:rPr>
          <w:rFonts w:ascii="Arial" w:hAnsi="Arial" w:cs="Arial"/>
          <w:sz w:val="22"/>
          <w:szCs w:val="22"/>
        </w:rPr>
        <w:t>welche</w:t>
      </w:r>
      <w:r>
        <w:rPr>
          <w:rFonts w:ascii="Arial" w:hAnsi="Arial" w:cs="Arial"/>
          <w:sz w:val="22"/>
          <w:szCs w:val="22"/>
        </w:rPr>
        <w:t xml:space="preserve"> an ihren Sammelbeinen sogenannte Pollen-Hös</w:t>
      </w:r>
      <w:r w:rsidR="00932266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chen trägt. </w:t>
      </w:r>
      <w:r w:rsidR="00C50B38">
        <w:rPr>
          <w:rFonts w:ascii="Arial" w:hAnsi="Arial" w:cs="Arial"/>
          <w:sz w:val="22"/>
          <w:szCs w:val="22"/>
        </w:rPr>
        <w:t>Die</w:t>
      </w:r>
      <w:r>
        <w:rPr>
          <w:rFonts w:ascii="Arial" w:hAnsi="Arial" w:cs="Arial"/>
          <w:sz w:val="22"/>
          <w:szCs w:val="22"/>
        </w:rPr>
        <w:t xml:space="preserve"> Larve </w:t>
      </w:r>
      <w:r w:rsidR="00C50B38">
        <w:rPr>
          <w:rFonts w:ascii="Arial" w:hAnsi="Arial" w:cs="Arial"/>
          <w:sz w:val="22"/>
          <w:szCs w:val="22"/>
        </w:rPr>
        <w:t xml:space="preserve">der Schlammbiene </w:t>
      </w:r>
      <w:r>
        <w:rPr>
          <w:rFonts w:ascii="Arial" w:hAnsi="Arial" w:cs="Arial"/>
          <w:sz w:val="22"/>
          <w:szCs w:val="22"/>
        </w:rPr>
        <w:t xml:space="preserve">fühlt sich in schlammigen Gewässern wohl. </w:t>
      </w:r>
    </w:p>
    <w:p w14:paraId="573CBDCD" w14:textId="36990F6E" w:rsidR="00A521CF" w:rsidRDefault="00A521CF" w:rsidP="009322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Ihre Fa</w:t>
      </w:r>
      <w:r w:rsidR="00C50B38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cet</w:t>
      </w:r>
      <w:r w:rsidR="00C50B38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>tenaugen sind aus Einzelaugen aufgebaut, bei denen sechs äußere Sehsinnes</w:t>
      </w:r>
      <w:r w:rsidR="00C50B38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zellen (R 1-6) </w:t>
      </w:r>
      <w:r w:rsidR="00932266">
        <w:rPr>
          <w:rFonts w:ascii="Arial" w:hAnsi="Arial" w:cs="Arial"/>
          <w:sz w:val="22"/>
          <w:szCs w:val="22"/>
        </w:rPr>
        <w:t xml:space="preserve">einen Ring bilden, in dessen Zentrum </w:t>
      </w:r>
      <w:r>
        <w:rPr>
          <w:rFonts w:ascii="Arial" w:hAnsi="Arial" w:cs="Arial"/>
          <w:sz w:val="22"/>
          <w:szCs w:val="22"/>
        </w:rPr>
        <w:t>zwei innere Sehsinneszellen (R 7-8)</w:t>
      </w:r>
      <w:r w:rsidR="009322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über</w:t>
      </w:r>
      <w:r w:rsidR="00C50B38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einander stehen. R 1-6 besitzen sehr kurze Axone, die ihre Signale an </w:t>
      </w:r>
      <w:r w:rsidR="00932266">
        <w:rPr>
          <w:rFonts w:ascii="Arial" w:hAnsi="Arial" w:cs="Arial"/>
          <w:sz w:val="22"/>
          <w:szCs w:val="22"/>
        </w:rPr>
        <w:t xml:space="preserve">spezielle </w:t>
      </w:r>
      <w:r>
        <w:rPr>
          <w:rFonts w:ascii="Arial" w:hAnsi="Arial" w:cs="Arial"/>
          <w:sz w:val="22"/>
          <w:szCs w:val="22"/>
        </w:rPr>
        <w:t>Nervenzellen (Monopolare) weitergeben.</w:t>
      </w:r>
    </w:p>
    <w:p w14:paraId="48D0F0E8" w14:textId="06CE3FC4" w:rsidR="00A521CF" w:rsidRPr="00A521CF" w:rsidRDefault="00A521CF" w:rsidP="0093226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Abbildungen zeigen die Membranpotentiale einer Zelle des Typs R 1-6 (a, b) sowie einer Monopolaren (c) bei einem Lichtreiz von 200 ms Dauer (weißer Balken). Abbildung a </w:t>
      </w:r>
      <w:r w:rsidR="00932266">
        <w:rPr>
          <w:rFonts w:ascii="Arial" w:hAnsi="Arial" w:cs="Arial"/>
          <w:sz w:val="22"/>
          <w:szCs w:val="22"/>
        </w:rPr>
        <w:t xml:space="preserve">und c </w:t>
      </w:r>
      <w:r>
        <w:rPr>
          <w:rFonts w:ascii="Arial" w:hAnsi="Arial" w:cs="Arial"/>
          <w:sz w:val="22"/>
          <w:szCs w:val="22"/>
        </w:rPr>
        <w:t>entstand</w:t>
      </w:r>
      <w:r w:rsidR="00932266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bei maximaler Lichtintensität, Abbildung b bei einem Hunder</w:t>
      </w:r>
      <w:r w:rsidR="0093226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stel dieser Licht</w:t>
      </w:r>
      <w:r w:rsidR="00C50B38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intensität. Die schwarzen Säulen </w:t>
      </w:r>
      <w:r w:rsidR="00D75E9F">
        <w:rPr>
          <w:rFonts w:ascii="Arial" w:hAnsi="Arial" w:cs="Arial"/>
          <w:sz w:val="22"/>
          <w:szCs w:val="22"/>
        </w:rPr>
        <w:t xml:space="preserve">zeigen die Höhe </w:t>
      </w:r>
      <w:r>
        <w:rPr>
          <w:rFonts w:ascii="Arial" w:hAnsi="Arial" w:cs="Arial"/>
          <w:sz w:val="22"/>
          <w:szCs w:val="22"/>
        </w:rPr>
        <w:t>eine</w:t>
      </w:r>
      <w:r w:rsidR="00D75E9F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Potentialänderung von </w:t>
      </w:r>
      <w:r w:rsidR="00D75E9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0 mV </w:t>
      </w:r>
      <w:r w:rsidR="00D75E9F">
        <w:rPr>
          <w:rFonts w:ascii="Arial" w:hAnsi="Arial" w:cs="Arial"/>
          <w:sz w:val="22"/>
          <w:szCs w:val="22"/>
        </w:rPr>
        <w:t>(a, b) bzw. 10 mV (c)</w:t>
      </w:r>
      <w:r>
        <w:rPr>
          <w:rFonts w:ascii="Arial" w:hAnsi="Arial" w:cs="Arial"/>
          <w:sz w:val="22"/>
          <w:szCs w:val="22"/>
        </w:rPr>
        <w:t>.</w:t>
      </w:r>
    </w:p>
    <w:p w14:paraId="4AB29F28" w14:textId="77777777" w:rsidR="00A521CF" w:rsidRDefault="00A521CF">
      <w:pPr>
        <w:rPr>
          <w:rFonts w:ascii="Arial" w:hAnsi="Arial" w:cs="Arial"/>
          <w:sz w:val="22"/>
          <w:szCs w:val="22"/>
        </w:rPr>
      </w:pPr>
    </w:p>
    <w:p w14:paraId="58E4202A" w14:textId="169CBE58" w:rsidR="00522727" w:rsidRPr="00522727" w:rsidRDefault="00522727">
      <w:pPr>
        <w:rPr>
          <w:rFonts w:ascii="Arial" w:hAnsi="Arial" w:cs="Arial"/>
          <w:b/>
          <w:bCs/>
          <w:sz w:val="22"/>
          <w:szCs w:val="22"/>
        </w:rPr>
      </w:pPr>
      <w:r w:rsidRPr="00522727">
        <w:rPr>
          <w:rFonts w:ascii="Arial" w:hAnsi="Arial" w:cs="Arial"/>
          <w:b/>
          <w:bCs/>
          <w:sz w:val="22"/>
          <w:szCs w:val="22"/>
        </w:rPr>
        <w:t>Aufgabe</w:t>
      </w:r>
    </w:p>
    <w:p w14:paraId="19451447" w14:textId="77777777" w:rsidR="00522727" w:rsidRDefault="00522727">
      <w:pPr>
        <w:rPr>
          <w:rFonts w:ascii="Arial" w:hAnsi="Arial" w:cs="Arial"/>
          <w:sz w:val="22"/>
          <w:szCs w:val="22"/>
        </w:rPr>
      </w:pPr>
    </w:p>
    <w:p w14:paraId="05C55525" w14:textId="4B15AB1F" w:rsidR="00D75E9F" w:rsidRDefault="00D75E9F" w:rsidP="009322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Beschreiben Sie die Verläufe der Membranpotentiale a-c mit Fachbegriffen und vergleichen Sie diese mit Membranpotentialen menschlicher Sehsinnes- bzw. Nervenzellen.</w:t>
      </w:r>
    </w:p>
    <w:p w14:paraId="30C0C698" w14:textId="43AABC79" w:rsidR="00522727" w:rsidRPr="00A521CF" w:rsidRDefault="00522727">
      <w:pPr>
        <w:rPr>
          <w:rFonts w:ascii="Arial" w:hAnsi="Arial" w:cs="Arial"/>
          <w:sz w:val="22"/>
          <w:szCs w:val="22"/>
        </w:rPr>
      </w:pPr>
    </w:p>
    <w:p w14:paraId="649F71EE" w14:textId="1D7209D3" w:rsidR="00A521CF" w:rsidRPr="00A521CF" w:rsidRDefault="00D75E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29C787E" wp14:editId="7AE9EDE4">
            <wp:simplePos x="0" y="0"/>
            <wp:positionH relativeFrom="column">
              <wp:posOffset>695960</wp:posOffset>
            </wp:positionH>
            <wp:positionV relativeFrom="paragraph">
              <wp:posOffset>103505</wp:posOffset>
            </wp:positionV>
            <wp:extent cx="1800000" cy="2199600"/>
            <wp:effectExtent l="0" t="0" r="0" b="0"/>
            <wp:wrapSquare wrapText="bothSides"/>
            <wp:docPr id="156593933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939333" name="Grafik 156593933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19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EBE19" w14:textId="3AEFA225" w:rsidR="00A521CF" w:rsidRPr="00A521CF" w:rsidRDefault="00D75E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2DB0165" wp14:editId="1A6DA1EE">
            <wp:simplePos x="0" y="0"/>
            <wp:positionH relativeFrom="column">
              <wp:posOffset>3060065</wp:posOffset>
            </wp:positionH>
            <wp:positionV relativeFrom="paragraph">
              <wp:posOffset>32385</wp:posOffset>
            </wp:positionV>
            <wp:extent cx="2304415" cy="1193800"/>
            <wp:effectExtent l="0" t="0" r="635" b="6350"/>
            <wp:wrapSquare wrapText="bothSides"/>
            <wp:docPr id="214285456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854569" name="Grafik 214285456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A84CD1" w14:textId="6109F8CC" w:rsidR="00A521CF" w:rsidRPr="00A521CF" w:rsidRDefault="00A521CF">
      <w:pPr>
        <w:rPr>
          <w:rFonts w:ascii="Arial" w:hAnsi="Arial" w:cs="Arial"/>
          <w:sz w:val="22"/>
          <w:szCs w:val="22"/>
        </w:rPr>
      </w:pPr>
    </w:p>
    <w:p w14:paraId="43930182" w14:textId="77777777" w:rsidR="00A521CF" w:rsidRPr="00A521CF" w:rsidRDefault="00A521CF">
      <w:pPr>
        <w:rPr>
          <w:rFonts w:ascii="Arial" w:hAnsi="Arial" w:cs="Arial"/>
          <w:sz w:val="22"/>
          <w:szCs w:val="22"/>
        </w:rPr>
      </w:pPr>
    </w:p>
    <w:p w14:paraId="1902176D" w14:textId="77777777" w:rsidR="00A521CF" w:rsidRPr="00A521CF" w:rsidRDefault="00A521CF">
      <w:pPr>
        <w:rPr>
          <w:rFonts w:ascii="Arial" w:hAnsi="Arial" w:cs="Arial"/>
          <w:sz w:val="22"/>
          <w:szCs w:val="22"/>
        </w:rPr>
      </w:pPr>
    </w:p>
    <w:p w14:paraId="1C90A78F" w14:textId="77777777" w:rsidR="00A521CF" w:rsidRPr="00A521CF" w:rsidRDefault="00A521CF">
      <w:pPr>
        <w:rPr>
          <w:rFonts w:ascii="Arial" w:hAnsi="Arial" w:cs="Arial"/>
          <w:sz w:val="22"/>
          <w:szCs w:val="22"/>
        </w:rPr>
      </w:pPr>
    </w:p>
    <w:p w14:paraId="5883DA73" w14:textId="77777777" w:rsidR="00A521CF" w:rsidRPr="00A521CF" w:rsidRDefault="00A521CF">
      <w:pPr>
        <w:rPr>
          <w:rFonts w:ascii="Arial" w:hAnsi="Arial" w:cs="Arial"/>
          <w:sz w:val="22"/>
          <w:szCs w:val="22"/>
        </w:rPr>
      </w:pPr>
    </w:p>
    <w:p w14:paraId="5750E5D9" w14:textId="77777777" w:rsidR="00A521CF" w:rsidRDefault="00A521CF">
      <w:pPr>
        <w:rPr>
          <w:rFonts w:ascii="Arial" w:hAnsi="Arial" w:cs="Arial"/>
          <w:sz w:val="22"/>
          <w:szCs w:val="22"/>
        </w:rPr>
      </w:pPr>
    </w:p>
    <w:p w14:paraId="1B54065A" w14:textId="77777777" w:rsidR="00D75E9F" w:rsidRDefault="00D75E9F">
      <w:pPr>
        <w:rPr>
          <w:rFonts w:ascii="Arial" w:hAnsi="Arial" w:cs="Arial"/>
          <w:sz w:val="22"/>
          <w:szCs w:val="22"/>
        </w:rPr>
      </w:pPr>
    </w:p>
    <w:p w14:paraId="51118DA5" w14:textId="77777777" w:rsidR="00D75E9F" w:rsidRDefault="00D75E9F">
      <w:pPr>
        <w:rPr>
          <w:rFonts w:ascii="Arial" w:hAnsi="Arial" w:cs="Arial"/>
          <w:sz w:val="22"/>
          <w:szCs w:val="22"/>
        </w:rPr>
      </w:pPr>
    </w:p>
    <w:p w14:paraId="58FFE340" w14:textId="77777777" w:rsidR="00D75E9F" w:rsidRDefault="00D75E9F">
      <w:pPr>
        <w:rPr>
          <w:rFonts w:ascii="Arial" w:hAnsi="Arial" w:cs="Arial"/>
          <w:sz w:val="22"/>
          <w:szCs w:val="22"/>
        </w:rPr>
      </w:pPr>
    </w:p>
    <w:p w14:paraId="711B7967" w14:textId="77777777" w:rsidR="00D75E9F" w:rsidRDefault="00D75E9F">
      <w:pPr>
        <w:rPr>
          <w:rFonts w:ascii="Arial" w:hAnsi="Arial" w:cs="Arial"/>
          <w:sz w:val="22"/>
          <w:szCs w:val="22"/>
        </w:rPr>
      </w:pPr>
    </w:p>
    <w:p w14:paraId="081C9911" w14:textId="77777777" w:rsidR="00D75E9F" w:rsidRDefault="00D75E9F">
      <w:pPr>
        <w:rPr>
          <w:rFonts w:ascii="Arial" w:hAnsi="Arial" w:cs="Arial"/>
          <w:sz w:val="22"/>
          <w:szCs w:val="22"/>
        </w:rPr>
      </w:pPr>
    </w:p>
    <w:p w14:paraId="57A3631F" w14:textId="77777777" w:rsidR="00D75E9F" w:rsidRDefault="00D75E9F">
      <w:pPr>
        <w:rPr>
          <w:rFonts w:ascii="Arial" w:hAnsi="Arial" w:cs="Arial"/>
          <w:sz w:val="22"/>
          <w:szCs w:val="22"/>
        </w:rPr>
      </w:pPr>
    </w:p>
    <w:p w14:paraId="55E1F266" w14:textId="77777777" w:rsidR="00D75E9F" w:rsidRDefault="00D75E9F">
      <w:pPr>
        <w:rPr>
          <w:rFonts w:ascii="Arial" w:hAnsi="Arial" w:cs="Arial"/>
          <w:sz w:val="22"/>
          <w:szCs w:val="22"/>
        </w:rPr>
      </w:pPr>
    </w:p>
    <w:p w14:paraId="71BA6E5D" w14:textId="7A8505CC" w:rsidR="00D75E9F" w:rsidRPr="00D75E9F" w:rsidRDefault="00D75E9F" w:rsidP="00D75E9F">
      <w:pPr>
        <w:jc w:val="right"/>
        <w:rPr>
          <w:rFonts w:ascii="Arial" w:hAnsi="Arial" w:cs="Arial"/>
          <w:sz w:val="16"/>
          <w:szCs w:val="16"/>
        </w:rPr>
      </w:pPr>
      <w:r w:rsidRPr="00D75E9F">
        <w:rPr>
          <w:rFonts w:ascii="Arial" w:hAnsi="Arial" w:cs="Arial"/>
          <w:sz w:val="16"/>
          <w:szCs w:val="16"/>
        </w:rPr>
        <w:t>Quelle: Thomas Nickl, 1979</w:t>
      </w:r>
    </w:p>
    <w:p w14:paraId="7259E01C" w14:textId="77777777" w:rsidR="00D75E9F" w:rsidRDefault="00D75E9F">
      <w:pPr>
        <w:rPr>
          <w:rFonts w:ascii="Arial" w:hAnsi="Arial" w:cs="Arial"/>
          <w:sz w:val="22"/>
          <w:szCs w:val="22"/>
        </w:rPr>
      </w:pPr>
    </w:p>
    <w:p w14:paraId="67FDC891" w14:textId="77777777" w:rsidR="00D75E9F" w:rsidRDefault="00D75E9F">
      <w:pPr>
        <w:rPr>
          <w:rFonts w:ascii="Arial" w:hAnsi="Arial" w:cs="Arial"/>
          <w:sz w:val="22"/>
          <w:szCs w:val="22"/>
        </w:rPr>
      </w:pPr>
    </w:p>
    <w:p w14:paraId="54B4B890" w14:textId="77777777" w:rsidR="00D75E9F" w:rsidRDefault="00D75E9F">
      <w:pPr>
        <w:rPr>
          <w:rFonts w:ascii="Arial" w:hAnsi="Arial" w:cs="Arial"/>
          <w:sz w:val="22"/>
          <w:szCs w:val="22"/>
        </w:rPr>
      </w:pPr>
    </w:p>
    <w:p w14:paraId="49712EA8" w14:textId="77777777" w:rsidR="00D75E9F" w:rsidRDefault="00D75E9F">
      <w:pPr>
        <w:rPr>
          <w:rFonts w:ascii="Arial" w:hAnsi="Arial" w:cs="Arial"/>
          <w:sz w:val="22"/>
          <w:szCs w:val="22"/>
        </w:rPr>
      </w:pPr>
    </w:p>
    <w:p w14:paraId="29C950C3" w14:textId="77777777" w:rsidR="00D75E9F" w:rsidRDefault="00D75E9F">
      <w:pPr>
        <w:rPr>
          <w:rFonts w:ascii="Arial" w:hAnsi="Arial" w:cs="Arial"/>
          <w:sz w:val="22"/>
          <w:szCs w:val="22"/>
        </w:rPr>
      </w:pPr>
    </w:p>
    <w:p w14:paraId="52251977" w14:textId="77777777" w:rsidR="00D75E9F" w:rsidRDefault="00D75E9F">
      <w:pPr>
        <w:rPr>
          <w:rFonts w:ascii="Arial" w:hAnsi="Arial" w:cs="Arial"/>
          <w:sz w:val="22"/>
          <w:szCs w:val="22"/>
        </w:rPr>
      </w:pPr>
    </w:p>
    <w:p w14:paraId="1081ED26" w14:textId="77777777" w:rsidR="00D75E9F" w:rsidRDefault="00D75E9F">
      <w:pPr>
        <w:rPr>
          <w:rFonts w:ascii="Arial" w:hAnsi="Arial" w:cs="Arial"/>
          <w:sz w:val="22"/>
          <w:szCs w:val="22"/>
        </w:rPr>
      </w:pPr>
    </w:p>
    <w:p w14:paraId="62025358" w14:textId="77777777" w:rsidR="00D75E9F" w:rsidRDefault="00D75E9F">
      <w:pPr>
        <w:rPr>
          <w:rFonts w:ascii="Arial" w:hAnsi="Arial" w:cs="Arial"/>
          <w:sz w:val="22"/>
          <w:szCs w:val="22"/>
        </w:rPr>
      </w:pPr>
    </w:p>
    <w:p w14:paraId="68D209B7" w14:textId="77777777" w:rsidR="00D75E9F" w:rsidRDefault="00D75E9F">
      <w:pPr>
        <w:rPr>
          <w:rFonts w:ascii="Arial" w:hAnsi="Arial" w:cs="Arial"/>
          <w:sz w:val="22"/>
          <w:szCs w:val="22"/>
        </w:rPr>
      </w:pPr>
    </w:p>
    <w:p w14:paraId="09B20330" w14:textId="77777777" w:rsidR="00D75E9F" w:rsidRDefault="00D75E9F">
      <w:pPr>
        <w:rPr>
          <w:rFonts w:ascii="Arial" w:hAnsi="Arial" w:cs="Arial"/>
          <w:sz w:val="22"/>
          <w:szCs w:val="22"/>
        </w:rPr>
      </w:pPr>
    </w:p>
    <w:p w14:paraId="293D68B4" w14:textId="77777777" w:rsidR="00D75E9F" w:rsidRDefault="00D75E9F">
      <w:pPr>
        <w:rPr>
          <w:rFonts w:ascii="Arial" w:hAnsi="Arial" w:cs="Arial"/>
          <w:sz w:val="22"/>
          <w:szCs w:val="22"/>
        </w:rPr>
      </w:pPr>
    </w:p>
    <w:p w14:paraId="2BBF3314" w14:textId="77777777" w:rsidR="00D75E9F" w:rsidRDefault="00D75E9F">
      <w:pPr>
        <w:rPr>
          <w:rFonts w:ascii="Arial" w:hAnsi="Arial" w:cs="Arial"/>
          <w:sz w:val="22"/>
          <w:szCs w:val="22"/>
        </w:rPr>
      </w:pPr>
    </w:p>
    <w:p w14:paraId="58A67F4A" w14:textId="77777777" w:rsidR="00D75E9F" w:rsidRDefault="00D75E9F">
      <w:pPr>
        <w:rPr>
          <w:rFonts w:ascii="Arial" w:hAnsi="Arial" w:cs="Arial"/>
          <w:sz w:val="22"/>
          <w:szCs w:val="22"/>
        </w:rPr>
      </w:pPr>
    </w:p>
    <w:p w14:paraId="4ACBD14A" w14:textId="77777777" w:rsidR="00D75E9F" w:rsidRDefault="00D75E9F">
      <w:pPr>
        <w:rPr>
          <w:rFonts w:ascii="Arial" w:hAnsi="Arial" w:cs="Arial"/>
          <w:sz w:val="22"/>
          <w:szCs w:val="22"/>
        </w:rPr>
      </w:pPr>
    </w:p>
    <w:p w14:paraId="22561950" w14:textId="77777777" w:rsidR="00D75E9F" w:rsidRDefault="00D75E9F">
      <w:pPr>
        <w:rPr>
          <w:rFonts w:ascii="Arial" w:hAnsi="Arial" w:cs="Arial"/>
          <w:sz w:val="22"/>
          <w:szCs w:val="22"/>
        </w:rPr>
      </w:pPr>
    </w:p>
    <w:p w14:paraId="4D27EFB2" w14:textId="77777777" w:rsidR="00D75E9F" w:rsidRDefault="00D75E9F">
      <w:pPr>
        <w:rPr>
          <w:rFonts w:ascii="Arial" w:hAnsi="Arial" w:cs="Arial"/>
          <w:sz w:val="22"/>
          <w:szCs w:val="22"/>
        </w:rPr>
      </w:pPr>
    </w:p>
    <w:p w14:paraId="39FC1B34" w14:textId="77777777" w:rsidR="00D75E9F" w:rsidRDefault="00D75E9F">
      <w:pPr>
        <w:rPr>
          <w:rFonts w:ascii="Arial" w:hAnsi="Arial" w:cs="Arial"/>
          <w:sz w:val="22"/>
          <w:szCs w:val="22"/>
        </w:rPr>
      </w:pPr>
    </w:p>
    <w:p w14:paraId="4EA415D0" w14:textId="77777777" w:rsidR="00D75E9F" w:rsidRDefault="00D75E9F">
      <w:pPr>
        <w:rPr>
          <w:rFonts w:ascii="Arial" w:hAnsi="Arial" w:cs="Arial"/>
          <w:sz w:val="22"/>
          <w:szCs w:val="22"/>
        </w:rPr>
      </w:pPr>
    </w:p>
    <w:p w14:paraId="0E5BE40B" w14:textId="77777777" w:rsidR="00D75E9F" w:rsidRDefault="00D75E9F">
      <w:pPr>
        <w:rPr>
          <w:rFonts w:ascii="Arial" w:hAnsi="Arial" w:cs="Arial"/>
          <w:sz w:val="22"/>
          <w:szCs w:val="22"/>
        </w:rPr>
      </w:pPr>
    </w:p>
    <w:p w14:paraId="437C0F42" w14:textId="77777777" w:rsidR="00D75E9F" w:rsidRDefault="00D75E9F">
      <w:pPr>
        <w:rPr>
          <w:rFonts w:ascii="Arial" w:hAnsi="Arial" w:cs="Arial"/>
          <w:sz w:val="22"/>
          <w:szCs w:val="22"/>
        </w:rPr>
      </w:pPr>
    </w:p>
    <w:p w14:paraId="17538F76" w14:textId="6F41A63E" w:rsidR="00D75E9F" w:rsidRPr="00D75E9F" w:rsidRDefault="00D75E9F">
      <w:pPr>
        <w:rPr>
          <w:b/>
          <w:bCs/>
          <w:sz w:val="28"/>
          <w:szCs w:val="28"/>
        </w:rPr>
      </w:pPr>
      <w:r w:rsidRPr="00D75E9F">
        <w:rPr>
          <w:b/>
          <w:bCs/>
          <w:sz w:val="28"/>
          <w:szCs w:val="28"/>
        </w:rPr>
        <w:t>Hinweise für die Lehrkraft</w:t>
      </w:r>
    </w:p>
    <w:p w14:paraId="6CBE903E" w14:textId="77777777" w:rsidR="00D75E9F" w:rsidRPr="00D75E9F" w:rsidRDefault="00D75E9F"/>
    <w:p w14:paraId="5E32B7D5" w14:textId="5084B769" w:rsidR="00C50B38" w:rsidRDefault="00932266" w:rsidP="00932266">
      <w:pPr>
        <w:jc w:val="both"/>
        <w:rPr>
          <w:i/>
        </w:rPr>
      </w:pPr>
      <w:r>
        <w:rPr>
          <w:i/>
        </w:rPr>
        <w:t>Wie bei vielen Aufgaben im schriftlichen Abitur enthält die Angabe eine Reihe von Informa</w:t>
      </w:r>
      <w:r>
        <w:rPr>
          <w:i/>
        </w:rPr>
        <w:softHyphen/>
        <w:t>tio</w:t>
      </w:r>
      <w:r>
        <w:rPr>
          <w:i/>
        </w:rPr>
        <w:softHyphen/>
        <w:t>nen, die den Kursteilnehmern unbekannt sind, die aber für die Bearbeitung der eigentlichen Auf</w:t>
      </w:r>
      <w:r>
        <w:rPr>
          <w:i/>
        </w:rPr>
        <w:softHyphen/>
        <w:t>gaben</w:t>
      </w:r>
      <w:r>
        <w:rPr>
          <w:i/>
        </w:rPr>
        <w:softHyphen/>
        <w:t>stellung wenig Bedeutung haben</w:t>
      </w:r>
      <w:r w:rsidR="00C50B38">
        <w:rPr>
          <w:i/>
        </w:rPr>
        <w:t>, und die Angaben in Text und Abbildung erschließen sich erst nach genauerem Studieren.</w:t>
      </w:r>
    </w:p>
    <w:p w14:paraId="2C8F7513" w14:textId="29574AFB" w:rsidR="00932266" w:rsidRPr="00932266" w:rsidRDefault="00932266" w:rsidP="00C50B38">
      <w:pPr>
        <w:spacing w:before="120"/>
        <w:jc w:val="both"/>
        <w:rPr>
          <w:i/>
        </w:rPr>
      </w:pPr>
      <w:r>
        <w:rPr>
          <w:i/>
        </w:rPr>
        <w:t>Die Abbildungen stammen aus meiner Diplom</w:t>
      </w:r>
      <w:r>
        <w:rPr>
          <w:i/>
        </w:rPr>
        <w:softHyphen/>
        <w:t>arbeit.</w:t>
      </w:r>
      <w:r w:rsidR="00C50B38">
        <w:rPr>
          <w:i/>
        </w:rPr>
        <w:t xml:space="preserve"> Es sind Nachzeichnungen von Fotogra</w:t>
      </w:r>
      <w:r w:rsidR="00C50B38">
        <w:rPr>
          <w:i/>
        </w:rPr>
        <w:softHyphen/>
        <w:t>fien, die vom Bildschirm eines Oszillographen gemacht wurden, auf dem die verstärkten Signale der Messelektrode dargestellt wurden.</w:t>
      </w:r>
    </w:p>
    <w:p w14:paraId="735E67F0" w14:textId="77777777" w:rsidR="00932266" w:rsidRDefault="00932266"/>
    <w:p w14:paraId="7E7B57BE" w14:textId="5B6BCA6E" w:rsidR="00D75E9F" w:rsidRDefault="00D75E9F" w:rsidP="00714A56">
      <w:pPr>
        <w:jc w:val="both"/>
      </w:pPr>
      <w:r>
        <w:t xml:space="preserve">Die </w:t>
      </w:r>
      <w:r w:rsidRPr="00C50B38">
        <w:rPr>
          <w:u w:val="single"/>
        </w:rPr>
        <w:t>Sehsinneszelle vom Typ 1-6</w:t>
      </w:r>
      <w:r>
        <w:t xml:space="preserve"> zeigt als Antwort auf einen Lichtreiz ein graduierte</w:t>
      </w:r>
      <w:r w:rsidR="00932266">
        <w:t>s Membran</w:t>
      </w:r>
      <w:r w:rsidR="00714A56">
        <w:softHyphen/>
      </w:r>
      <w:r w:rsidR="00932266">
        <w:t xml:space="preserve">potential in Form einer </w:t>
      </w:r>
      <w:r>
        <w:t>Depolarisierung. Bei hoher Lichtstärke geht die Depolarisierung nach kurzer Zeit auf ein niedrigeres Niveau zurück</w:t>
      </w:r>
      <w:r w:rsidR="00932266">
        <w:t xml:space="preserve"> („Überschießen“ am Anfang)</w:t>
      </w:r>
      <w:r>
        <w:t>.</w:t>
      </w:r>
      <w:r w:rsidR="00932266">
        <w:t xml:space="preserve"> Bei geringerer Lichtstärke ist das Ausmaß der Depolarisierung </w:t>
      </w:r>
      <w:r w:rsidR="00C50B38">
        <w:t xml:space="preserve">(im Bereich des Niveaus) </w:t>
      </w:r>
      <w:r w:rsidR="00932266">
        <w:t>geringer als bei höherer Lichtstärke.</w:t>
      </w:r>
    </w:p>
    <w:p w14:paraId="1B56A820" w14:textId="586C336C" w:rsidR="00D75E9F" w:rsidRDefault="00D75E9F" w:rsidP="00C50B38">
      <w:pPr>
        <w:spacing w:before="120"/>
        <w:jc w:val="both"/>
      </w:pPr>
      <w:r>
        <w:t xml:space="preserve">Eine </w:t>
      </w:r>
      <w:r w:rsidRPr="00C50B38">
        <w:rPr>
          <w:u w:val="single"/>
        </w:rPr>
        <w:t>menschliche Sehsinneszelle</w:t>
      </w:r>
      <w:r>
        <w:t xml:space="preserve"> reagiert auf einen Lichtreiz ebenfalls mit einem graduierten Potential, aber </w:t>
      </w:r>
      <w:r w:rsidR="00932266">
        <w:t>in Form einer</w:t>
      </w:r>
      <w:r>
        <w:t xml:space="preserve"> Hyperpolarisierung.</w:t>
      </w:r>
    </w:p>
    <w:p w14:paraId="34C2AE13" w14:textId="77777777" w:rsidR="00D75E9F" w:rsidRDefault="00D75E9F" w:rsidP="00714A56">
      <w:pPr>
        <w:jc w:val="both"/>
      </w:pPr>
    </w:p>
    <w:p w14:paraId="3CFE59AE" w14:textId="5DC2AF1E" w:rsidR="00D75E9F" w:rsidRDefault="00D75E9F" w:rsidP="00714A56">
      <w:pPr>
        <w:jc w:val="both"/>
      </w:pPr>
      <w:r>
        <w:t xml:space="preserve">Die </w:t>
      </w:r>
      <w:r w:rsidRPr="00C50B38">
        <w:rPr>
          <w:u w:val="single"/>
        </w:rPr>
        <w:t>Monopolare</w:t>
      </w:r>
      <w:r>
        <w:t xml:space="preserve"> bildet ein graduierte</w:t>
      </w:r>
      <w:r w:rsidR="00932266">
        <w:t>s</w:t>
      </w:r>
      <w:r>
        <w:t xml:space="preserve"> </w:t>
      </w:r>
      <w:r w:rsidR="00932266">
        <w:t xml:space="preserve">Membranpotential in Form einer </w:t>
      </w:r>
      <w:r>
        <w:t xml:space="preserve">Hyperpolarisierung aus, wobei am Anfang und am Ende ein kurzes Überschießen zu beobachten ist. Der Betrag der Potentialänderung </w:t>
      </w:r>
      <w:r w:rsidR="00C50B38">
        <w:t xml:space="preserve">(ohne Überschießen) </w:t>
      </w:r>
      <w:r>
        <w:t xml:space="preserve">ist </w:t>
      </w:r>
      <w:r w:rsidR="00932266">
        <w:t xml:space="preserve">bei gleicher </w:t>
      </w:r>
      <w:r w:rsidR="00714A56">
        <w:t xml:space="preserve">Intensität des Lichtreizes </w:t>
      </w:r>
      <w:r>
        <w:t>kleiner als bei der Sehsinneszelle</w:t>
      </w:r>
      <w:r w:rsidR="00932266">
        <w:t>.</w:t>
      </w:r>
    </w:p>
    <w:p w14:paraId="3776DEB5" w14:textId="28D48BF1" w:rsidR="00932266" w:rsidRDefault="00932266" w:rsidP="00C50B38">
      <w:pPr>
        <w:spacing w:before="120"/>
        <w:jc w:val="both"/>
      </w:pPr>
      <w:r>
        <w:t xml:space="preserve">Eine </w:t>
      </w:r>
      <w:r w:rsidRPr="00C50B38">
        <w:rPr>
          <w:u w:val="single"/>
        </w:rPr>
        <w:t>menschliche Nervenzelle</w:t>
      </w:r>
      <w:r>
        <w:t xml:space="preserve"> reagiert auf erregende Reize in Dendrit und Soma mit Depola</w:t>
      </w:r>
      <w:r w:rsidR="00714A56">
        <w:softHyphen/>
      </w:r>
      <w:r>
        <w:t>ri</w:t>
      </w:r>
      <w:r w:rsidR="00714A56">
        <w:softHyphen/>
      </w:r>
      <w:r>
        <w:t>sierung und im Axon mit Aktionspotentialen.</w:t>
      </w:r>
    </w:p>
    <w:p w14:paraId="0E56C81A" w14:textId="77777777" w:rsidR="00932266" w:rsidRDefault="00932266"/>
    <w:p w14:paraId="488DEEBB" w14:textId="77777777" w:rsidR="00932266" w:rsidRDefault="00932266"/>
    <w:p w14:paraId="5D48F2D5" w14:textId="3B1B69CD" w:rsidR="00932266" w:rsidRPr="00932266" w:rsidRDefault="00932266" w:rsidP="00932266">
      <w:pPr>
        <w:jc w:val="right"/>
        <w:rPr>
          <w:sz w:val="16"/>
          <w:szCs w:val="16"/>
        </w:rPr>
      </w:pPr>
      <w:r w:rsidRPr="00932266">
        <w:rPr>
          <w:sz w:val="16"/>
          <w:szCs w:val="16"/>
        </w:rPr>
        <w:t>Thomas Nickl, April 2025</w:t>
      </w:r>
    </w:p>
    <w:p w14:paraId="333799AE" w14:textId="77777777" w:rsidR="00D75E9F" w:rsidRPr="00D75E9F" w:rsidRDefault="00D75E9F"/>
    <w:p w14:paraId="26597CCA" w14:textId="77777777" w:rsidR="00D75E9F" w:rsidRPr="00D75E9F" w:rsidRDefault="00D75E9F"/>
    <w:p w14:paraId="0CC12E14" w14:textId="77777777" w:rsidR="00D75E9F" w:rsidRPr="00D75E9F" w:rsidRDefault="00D75E9F"/>
    <w:p w14:paraId="397BCC3B" w14:textId="77777777" w:rsidR="00D75E9F" w:rsidRPr="00D75E9F" w:rsidRDefault="00D75E9F"/>
    <w:p w14:paraId="63DA6173" w14:textId="77777777" w:rsidR="00D75E9F" w:rsidRPr="00D75E9F" w:rsidRDefault="00D75E9F"/>
    <w:p w14:paraId="6B828639" w14:textId="77777777" w:rsidR="00D75E9F" w:rsidRPr="00D75E9F" w:rsidRDefault="00D75E9F"/>
    <w:p w14:paraId="62C02D38" w14:textId="77777777" w:rsidR="00D75E9F" w:rsidRPr="00D75E9F" w:rsidRDefault="00D75E9F"/>
    <w:sectPr w:rsidR="00D75E9F" w:rsidRPr="00D75E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CF"/>
    <w:rsid w:val="0018087E"/>
    <w:rsid w:val="00453521"/>
    <w:rsid w:val="004817A0"/>
    <w:rsid w:val="00522727"/>
    <w:rsid w:val="005527A3"/>
    <w:rsid w:val="005F265A"/>
    <w:rsid w:val="00714A56"/>
    <w:rsid w:val="0080627A"/>
    <w:rsid w:val="00932266"/>
    <w:rsid w:val="0097569A"/>
    <w:rsid w:val="00A36D92"/>
    <w:rsid w:val="00A521CF"/>
    <w:rsid w:val="00C50B38"/>
    <w:rsid w:val="00D75E9F"/>
    <w:rsid w:val="00D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E75F"/>
  <w15:chartTrackingRefBased/>
  <w15:docId w15:val="{F8FD9EFC-23D1-47CF-811D-0CA9239D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52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52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521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21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521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21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21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21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21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52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52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521C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21C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521C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21C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21C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21C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21C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521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52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21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21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521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521C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521C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521CF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52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521CF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52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3</cp:revision>
  <dcterms:created xsi:type="dcterms:W3CDTF">2025-04-18T07:57:00Z</dcterms:created>
  <dcterms:modified xsi:type="dcterms:W3CDTF">2025-04-18T10:14:00Z</dcterms:modified>
</cp:coreProperties>
</file>